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березня 2018 р. </w:t>
      </w:r>
      <w:r>
        <w:rPr>
          <w:szCs w:val="24"/>
          <w:lang w:val="uk-UA"/>
        </w:rPr>
        <w:tab/>
        <w:t xml:space="preserve">                    м. Попасна                                   № 60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«Малий герб міста Попасна» 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заступнику начальника ГУНП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Вінницькій області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підполковнику поліції Морозу Р.О.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625" w:rsidRDefault="00A95625" w:rsidP="00A956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Враховуючи значний особистий внесок у забезпечення охорони  громадського порядку та боротьбу з сепаратизмом, активну державну та громадську позицію, високий професіоналізм під час несення служби у місті Попасна заступником начальника ГУНП в Вінницькій області підполковником поліції Морозом Русланом Олександровичем, 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A95625" w:rsidRDefault="00A95625" w:rsidP="00A9562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Вручити заступнику начальника ГУНП в Вінницькій області підполковнику поліції Морозу Руслану  Олександровичу сувенірну відзнаку «Малий герб міста Попасна» з нагоди ювілею.</w:t>
      </w:r>
    </w:p>
    <w:p w:rsidR="00A95625" w:rsidRDefault="00A95625" w:rsidP="00A95625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58346C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2018-03-30T08:26:00Z</dcterms:modified>
</cp:coreProperties>
</file>