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Додаток </w:t>
      </w:r>
    </w:p>
    <w:p w:rsidR="006D3ED0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до рішення </w:t>
      </w:r>
      <w:r w:rsidR="006D3ED0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</w:p>
    <w:p w:rsidR="00415AF7" w:rsidRDefault="006D3ED0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міської ради</w:t>
      </w:r>
    </w:p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6D3E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655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від 21.01.2020  №</w:t>
      </w:r>
      <w:r w:rsidR="00E655B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4391" w:rsidRPr="005C4391" w:rsidRDefault="005C4391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391"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Інформаційно-аналітична довідка</w:t>
      </w:r>
    </w:p>
    <w:p w:rsidR="005C4391" w:rsidRPr="005C4391" w:rsidRDefault="005C4391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391">
        <w:rPr>
          <w:rFonts w:ascii="Times New Roman" w:hAnsi="Times New Roman" w:cs="Times New Roman"/>
          <w:sz w:val="28"/>
          <w:szCs w:val="28"/>
          <w:lang w:val="uk-UA"/>
        </w:rPr>
        <w:t xml:space="preserve">за  підсумками роботи із зверненнями громадян </w:t>
      </w:r>
    </w:p>
    <w:p w:rsidR="002742BE" w:rsidRPr="00FE68C8" w:rsidRDefault="005C4391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391">
        <w:rPr>
          <w:rFonts w:ascii="Times New Roman" w:hAnsi="Times New Roman" w:cs="Times New Roman"/>
          <w:sz w:val="28"/>
          <w:szCs w:val="28"/>
          <w:lang w:val="uk-UA"/>
        </w:rPr>
        <w:t>у виконавчому комітеті Попаснянської міської ради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0603" w:rsidRDefault="00070603" w:rsidP="005143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2987" w:rsidRPr="00170F27" w:rsidRDefault="00FE68C8" w:rsidP="00105C41">
      <w:pPr>
        <w:pStyle w:val="a4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070603">
        <w:rPr>
          <w:sz w:val="28"/>
          <w:szCs w:val="28"/>
          <w:lang w:val="uk-UA"/>
        </w:rPr>
        <w:t xml:space="preserve">  </w:t>
      </w:r>
      <w:r w:rsidR="00070603">
        <w:rPr>
          <w:sz w:val="28"/>
          <w:szCs w:val="28"/>
          <w:lang w:val="uk-UA"/>
        </w:rPr>
        <w:tab/>
      </w:r>
      <w:r w:rsidR="00AF1D00" w:rsidRPr="00170F27">
        <w:rPr>
          <w:sz w:val="28"/>
          <w:szCs w:val="28"/>
          <w:lang w:val="uk-UA"/>
        </w:rPr>
        <w:t xml:space="preserve">Реалізуючи </w:t>
      </w:r>
      <w:r w:rsidR="00070603" w:rsidRPr="00170F27">
        <w:rPr>
          <w:rFonts w:eastAsia="Times New Roman"/>
          <w:sz w:val="28"/>
          <w:szCs w:val="28"/>
          <w:lang w:val="uk-UA" w:eastAsia="ru-RU"/>
        </w:rPr>
        <w:t xml:space="preserve"> вимог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>и</w:t>
      </w:r>
      <w:r w:rsidR="00070603" w:rsidRPr="00170F27">
        <w:rPr>
          <w:rFonts w:eastAsia="Times New Roman"/>
          <w:sz w:val="28"/>
          <w:szCs w:val="28"/>
          <w:lang w:val="uk-UA" w:eastAsia="ru-RU"/>
        </w:rPr>
        <w:t xml:space="preserve">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4D227B">
        <w:rPr>
          <w:rFonts w:eastAsia="Times New Roman"/>
          <w:sz w:val="28"/>
          <w:szCs w:val="28"/>
          <w:lang w:val="uk-UA" w:eastAsia="ru-RU"/>
        </w:rPr>
        <w:t>,</w:t>
      </w:r>
      <w:r w:rsidR="004D227B" w:rsidRPr="00A52B80">
        <w:rPr>
          <w:bCs/>
          <w:lang w:val="uk-UA"/>
        </w:rPr>
        <w:t xml:space="preserve">  </w:t>
      </w:r>
      <w:r w:rsidR="004D227B">
        <w:rPr>
          <w:bCs/>
          <w:lang w:val="uk-UA"/>
        </w:rPr>
        <w:t xml:space="preserve">        </w:t>
      </w:r>
      <w:r w:rsidR="004D227B" w:rsidRPr="004D227B">
        <w:rPr>
          <w:bCs/>
          <w:sz w:val="28"/>
          <w:szCs w:val="28"/>
          <w:lang w:val="uk-UA"/>
        </w:rPr>
        <w:t>з метою постійного  зв’язку з населенням та оперативного реагування на проблеми, які турбують мешканців міста,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 xml:space="preserve"> робота  зі зверненнями   громадян  у виконкомі </w:t>
      </w:r>
      <w:r w:rsidR="00F747DF">
        <w:rPr>
          <w:rFonts w:eastAsia="Times New Roman"/>
          <w:sz w:val="28"/>
          <w:szCs w:val="28"/>
          <w:lang w:val="uk-UA" w:eastAsia="ru-RU"/>
        </w:rPr>
        <w:t xml:space="preserve"> 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 xml:space="preserve">міської ради направлена на </w:t>
      </w:r>
      <w:r w:rsidR="00170F27" w:rsidRPr="00170F27">
        <w:rPr>
          <w:rFonts w:eastAsia="Times New Roman"/>
          <w:sz w:val="28"/>
          <w:szCs w:val="28"/>
          <w:lang w:val="uk-UA" w:eastAsia="ru-RU"/>
        </w:rPr>
        <w:t xml:space="preserve"> 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 xml:space="preserve">об’єктивний та своєчасний 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 xml:space="preserve"> розгляд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 xml:space="preserve"> </w:t>
      </w:r>
      <w:r w:rsidR="00170F27" w:rsidRPr="00170F27">
        <w:rPr>
          <w:rFonts w:eastAsia="Times New Roman"/>
          <w:sz w:val="28"/>
          <w:szCs w:val="28"/>
          <w:lang w:val="uk-UA" w:eastAsia="ru-RU"/>
        </w:rPr>
        <w:t xml:space="preserve">звернень 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>громадян</w:t>
      </w:r>
      <w:r w:rsidR="00AF1D00" w:rsidRPr="00170F27">
        <w:rPr>
          <w:rFonts w:eastAsia="Times New Roman"/>
          <w:sz w:val="28"/>
          <w:szCs w:val="28"/>
          <w:lang w:val="uk-UA" w:eastAsia="ru-RU"/>
        </w:rPr>
        <w:t xml:space="preserve">, 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>усу</w:t>
      </w:r>
      <w:r w:rsidR="00170F27" w:rsidRPr="00170F27">
        <w:rPr>
          <w:rFonts w:eastAsia="Times New Roman"/>
          <w:sz w:val="28"/>
          <w:szCs w:val="28"/>
          <w:lang w:val="uk-UA" w:eastAsia="ru-RU"/>
        </w:rPr>
        <w:t>нення причин, що їх</w:t>
      </w:r>
      <w:r w:rsidR="00886319" w:rsidRPr="00170F27">
        <w:rPr>
          <w:rFonts w:eastAsia="Times New Roman"/>
          <w:sz w:val="28"/>
          <w:szCs w:val="28"/>
          <w:lang w:val="uk-UA" w:eastAsia="ru-RU"/>
        </w:rPr>
        <w:t xml:space="preserve"> породжують,</w:t>
      </w:r>
      <w:r w:rsidR="00170F27" w:rsidRPr="00170F27">
        <w:rPr>
          <w:rFonts w:eastAsia="Times New Roman"/>
          <w:sz w:val="28"/>
          <w:szCs w:val="28"/>
          <w:lang w:val="uk-UA" w:eastAsia="ru-RU"/>
        </w:rPr>
        <w:t xml:space="preserve"> спрямовується на вдосконалення форм та методів роботи.</w:t>
      </w:r>
      <w:r w:rsidR="00105C41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F1D00" w:rsidRDefault="00F01276" w:rsidP="00105C41">
      <w:pPr>
        <w:pStyle w:val="a4"/>
        <w:spacing w:after="150" w:line="240" w:lineRule="auto"/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F01276">
        <w:rPr>
          <w:rFonts w:eastAsia="Times New Roman"/>
          <w:sz w:val="28"/>
          <w:szCs w:val="28"/>
          <w:lang w:val="uk-UA" w:eastAsia="ru-RU"/>
        </w:rPr>
        <w:t xml:space="preserve">Проведений </w:t>
      </w:r>
      <w:r w:rsidRPr="00F01276">
        <w:rPr>
          <w:bCs/>
          <w:sz w:val="28"/>
          <w:szCs w:val="28"/>
          <w:lang w:val="uk-UA"/>
        </w:rPr>
        <w:t xml:space="preserve">спеціалістами загального  відділу  виконкому міської ради  </w:t>
      </w:r>
      <w:r w:rsidRPr="00F01276">
        <w:rPr>
          <w:rFonts w:eastAsia="Times New Roman"/>
          <w:sz w:val="28"/>
          <w:szCs w:val="28"/>
          <w:lang w:val="uk-UA" w:eastAsia="ru-RU"/>
        </w:rPr>
        <w:t xml:space="preserve">моніторинг звернень та аналіз роботи </w:t>
      </w:r>
      <w:r w:rsidRPr="00F01276">
        <w:rPr>
          <w:bCs/>
          <w:sz w:val="28"/>
          <w:szCs w:val="28"/>
          <w:lang w:val="uk-UA"/>
        </w:rPr>
        <w:t>зі зверненнями громадян у виконкомі за  минулий рік</w:t>
      </w:r>
      <w:r w:rsidRPr="00F01276">
        <w:rPr>
          <w:rFonts w:eastAsia="Times New Roman"/>
          <w:sz w:val="28"/>
          <w:szCs w:val="28"/>
          <w:lang w:val="uk-UA" w:eastAsia="ru-RU"/>
        </w:rPr>
        <w:t xml:space="preserve"> </w:t>
      </w:r>
      <w:r w:rsidR="00105C41">
        <w:rPr>
          <w:rFonts w:eastAsia="Times New Roman"/>
          <w:sz w:val="28"/>
          <w:szCs w:val="28"/>
          <w:lang w:val="uk-UA" w:eastAsia="ru-RU"/>
        </w:rPr>
        <w:t>показує</w:t>
      </w:r>
      <w:r w:rsidRPr="00F01276">
        <w:rPr>
          <w:rFonts w:eastAsia="Times New Roman"/>
          <w:sz w:val="28"/>
          <w:szCs w:val="28"/>
          <w:lang w:val="uk-UA" w:eastAsia="ru-RU"/>
        </w:rPr>
        <w:t>, що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105C41">
        <w:rPr>
          <w:rFonts w:eastAsia="Times New Roman"/>
          <w:sz w:val="28"/>
          <w:szCs w:val="28"/>
          <w:lang w:val="uk-UA" w:eastAsia="ru-RU"/>
        </w:rPr>
        <w:t>у</w:t>
      </w:r>
      <w:r w:rsidR="005C4391">
        <w:rPr>
          <w:rFonts w:eastAsia="Times New Roman"/>
          <w:sz w:val="28"/>
          <w:szCs w:val="28"/>
          <w:lang w:val="uk-UA" w:eastAsia="ru-RU"/>
        </w:rPr>
        <w:t xml:space="preserve">  2019 році  </w:t>
      </w:r>
      <w:r w:rsidR="00A02CAC">
        <w:rPr>
          <w:rFonts w:eastAsia="Times New Roman"/>
          <w:sz w:val="28"/>
          <w:szCs w:val="28"/>
          <w:lang w:val="uk-UA" w:eastAsia="ru-RU"/>
        </w:rPr>
        <w:t>до</w:t>
      </w:r>
      <w:r w:rsidR="005C4391">
        <w:rPr>
          <w:rFonts w:eastAsia="Times New Roman"/>
          <w:sz w:val="28"/>
          <w:szCs w:val="28"/>
          <w:lang w:val="uk-UA" w:eastAsia="ru-RU"/>
        </w:rPr>
        <w:t xml:space="preserve"> виконавчого комітету надійшло та розглянуто </w:t>
      </w:r>
      <w:r w:rsidR="00480F96">
        <w:rPr>
          <w:rFonts w:eastAsia="Times New Roman"/>
          <w:sz w:val="28"/>
          <w:szCs w:val="28"/>
          <w:lang w:val="uk-UA" w:eastAsia="ru-RU"/>
        </w:rPr>
        <w:t xml:space="preserve">728 звернень громадян, </w:t>
      </w:r>
      <w:r w:rsidR="00105C41">
        <w:rPr>
          <w:rFonts w:eastAsia="Times New Roman"/>
          <w:sz w:val="28"/>
          <w:szCs w:val="28"/>
          <w:lang w:val="uk-UA" w:eastAsia="ru-RU"/>
        </w:rPr>
        <w:t xml:space="preserve">що </w:t>
      </w:r>
      <w:r w:rsidR="00480F96">
        <w:rPr>
          <w:rFonts w:eastAsia="Times New Roman"/>
          <w:sz w:val="28"/>
          <w:szCs w:val="28"/>
          <w:lang w:val="uk-UA" w:eastAsia="ru-RU"/>
        </w:rPr>
        <w:t>у</w:t>
      </w:r>
      <w:r w:rsidR="00AF1D00">
        <w:rPr>
          <w:rFonts w:eastAsia="Times New Roman"/>
          <w:sz w:val="28"/>
          <w:szCs w:val="28"/>
          <w:lang w:val="uk-UA" w:eastAsia="ru-RU"/>
        </w:rPr>
        <w:t xml:space="preserve"> порівняні з аналогічним періодом минулого </w:t>
      </w:r>
      <w:r w:rsidR="00F747DF">
        <w:rPr>
          <w:rFonts w:eastAsia="Times New Roman"/>
          <w:sz w:val="28"/>
          <w:szCs w:val="28"/>
          <w:lang w:val="uk-UA" w:eastAsia="ru-RU"/>
        </w:rPr>
        <w:t xml:space="preserve"> 2018 </w:t>
      </w:r>
      <w:r w:rsidR="00AF1D00">
        <w:rPr>
          <w:rFonts w:eastAsia="Times New Roman"/>
          <w:sz w:val="28"/>
          <w:szCs w:val="28"/>
          <w:lang w:val="uk-UA" w:eastAsia="ru-RU"/>
        </w:rPr>
        <w:t>року</w:t>
      </w:r>
      <w:r w:rsidR="00480F96">
        <w:rPr>
          <w:rFonts w:eastAsia="Times New Roman"/>
          <w:sz w:val="28"/>
          <w:szCs w:val="28"/>
          <w:lang w:val="uk-UA" w:eastAsia="ru-RU"/>
        </w:rPr>
        <w:t xml:space="preserve"> на 180 звернень більше (2018 рік – 548), з них:</w:t>
      </w:r>
    </w:p>
    <w:p w:rsidR="00480F96" w:rsidRDefault="008A3B60" w:rsidP="00480F9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письмових звернень – 696</w:t>
      </w:r>
      <w:r w:rsidR="00F1108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92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0F96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E72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168</w:t>
      </w:r>
      <w:r w:rsidR="00480F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більше ніж у 2018 році (528),</w:t>
      </w:r>
    </w:p>
    <w:p w:rsidR="00480F96" w:rsidRDefault="00E72F23" w:rsidP="00480F9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особистому прийомі – 32</w:t>
      </w:r>
      <w:r w:rsidR="00480F9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2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12 більше ніж </w:t>
      </w:r>
      <w:r w:rsidR="00480F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(20)</w:t>
      </w:r>
      <w:r w:rsidR="005B251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346C" w:rsidRDefault="00986ACC" w:rsidP="005B251B">
      <w:pPr>
        <w:pStyle w:val="a4"/>
        <w:spacing w:after="150" w:line="240" w:lineRule="auto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02F8435" wp14:editId="09EFAD90">
            <wp:extent cx="4295775" cy="2228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6CA3" w:rsidRPr="00376CA3" w:rsidRDefault="00376CA3" w:rsidP="005B251B">
      <w:pPr>
        <w:pStyle w:val="a4"/>
        <w:spacing w:after="150" w:line="240" w:lineRule="auto"/>
        <w:jc w:val="center"/>
        <w:rPr>
          <w:rFonts w:eastAsia="Times New Roman"/>
          <w:sz w:val="16"/>
          <w:szCs w:val="16"/>
          <w:lang w:val="uk-UA" w:eastAsia="ru-RU"/>
        </w:rPr>
      </w:pPr>
    </w:p>
    <w:p w:rsidR="00F1108E" w:rsidRDefault="00F1108E" w:rsidP="00F1108E">
      <w:pPr>
        <w:pStyle w:val="a4"/>
        <w:spacing w:after="150" w:line="240" w:lineRule="auto"/>
        <w:ind w:firstLine="708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Загальна  кількість зареєстрованих  протягом звітного періоду звернень у порівнян</w:t>
      </w:r>
      <w:r w:rsidR="008E149D">
        <w:rPr>
          <w:rFonts w:eastAsia="Times New Roman"/>
          <w:sz w:val="28"/>
          <w:szCs w:val="28"/>
          <w:lang w:val="uk-UA" w:eastAsia="ru-RU"/>
        </w:rPr>
        <w:t>н</w:t>
      </w:r>
      <w:r>
        <w:rPr>
          <w:rFonts w:eastAsia="Times New Roman"/>
          <w:sz w:val="28"/>
          <w:szCs w:val="28"/>
          <w:lang w:val="uk-UA" w:eastAsia="ru-RU"/>
        </w:rPr>
        <w:t>і з аналогічним періодом минулого року складає:</w:t>
      </w:r>
    </w:p>
    <w:p w:rsidR="005B251B" w:rsidRPr="00F1108E" w:rsidRDefault="00F1108E" w:rsidP="00F1108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B251B"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олективних </w:t>
      </w:r>
      <w:r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251B"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54, </w:t>
      </w:r>
      <w:r w:rsidR="00492B0C"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251B" w:rsidRPr="00F1108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 більше ніж у 2018 році (23), загальна кількість підписів громадян під усіма зверненнями, отриманими протягом 2019 року, теж  перевищує показники за аналогічний період минулого року  на 875 (2019 рік – 1124 підписів, 2018 рік – 249 підписів)</w:t>
      </w:r>
    </w:p>
    <w:p w:rsidR="005B251B" w:rsidRDefault="005B251B" w:rsidP="005B251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звернень, які надійшли  через вищі органи влади – 5, на 2 звернення більше ніж у 2018</w:t>
      </w:r>
      <w:r w:rsidR="00492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(3);</w:t>
      </w:r>
    </w:p>
    <w:p w:rsidR="00492B0C" w:rsidRDefault="00F1108E" w:rsidP="005B251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скарг – 9, на 3 менше ніж у 2018 році (12);</w:t>
      </w:r>
    </w:p>
    <w:p w:rsidR="00F1108E" w:rsidRDefault="00F1108E" w:rsidP="005B251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повторних звернень – 1, більше </w:t>
      </w:r>
      <w:r w:rsidR="00EC1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</w:t>
      </w:r>
      <w:r w:rsidR="00EC1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2018 році (0).</w:t>
      </w:r>
    </w:p>
    <w:p w:rsidR="00DA346C" w:rsidRDefault="00DA346C" w:rsidP="00A76912">
      <w:pPr>
        <w:pStyle w:val="a4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:rsidR="005B251B" w:rsidRDefault="00136273" w:rsidP="00A76912">
      <w:pPr>
        <w:pStyle w:val="a4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6CA3" w:rsidRDefault="00376CA3" w:rsidP="00A76912">
      <w:pPr>
        <w:pStyle w:val="a4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312750" w:rsidRPr="00F747DF" w:rsidRDefault="00F04695" w:rsidP="003127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4075D" w:rsidRPr="00840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84075D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Надходження  звернень до вищих органів влади та на «Урядову гарячу лінію» свідчить про прагнення громадян звернути увагу органів влади до тієї чи іншої проблеми, що виникає на місцевому рівні. </w:t>
      </w:r>
      <w:r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840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порівнянні з аналогічним періодом минулого року</w:t>
      </w:r>
      <w:r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«Урядову гарячу лінію»   у 2019 році </w:t>
      </w:r>
      <w:r w:rsidRPr="00840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звернулося </w:t>
      </w:r>
      <w:r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7 громадян, що  на 8  менше ніж у 2018 році (15).</w:t>
      </w:r>
      <w:r w:rsidR="00312750" w:rsidRPr="00F74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382473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Питання, які порушували</w:t>
      </w:r>
      <w:r w:rsidR="0085338C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громадяни:</w:t>
      </w:r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5338C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ремонт</w:t>
      </w:r>
      <w:r w:rsidR="00312750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покрівель, </w:t>
      </w:r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демер</w:t>
      </w:r>
      <w:r w:rsidR="0085338C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курізація</w:t>
      </w:r>
      <w:proofErr w:type="spellEnd"/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житла</w:t>
      </w:r>
      <w:r w:rsidR="0085338C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надання роз’яснень щодо розміру  випл</w:t>
      </w:r>
      <w:r w:rsidR="0082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аченої дотації за утримання  великої рогатої худоби</w:t>
      </w:r>
      <w:r w:rsidR="00802835" w:rsidRPr="00F7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інше.</w:t>
      </w:r>
    </w:p>
    <w:p w:rsidR="00431DE7" w:rsidRPr="0084075D" w:rsidRDefault="0084075D" w:rsidP="00431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C471D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 міста звертаються до виконкому міської ради з електронними петиціями. В такий спосіб міська влада чує жителів і розуміє, що найбільше турбує громаду. На  </w:t>
      </w:r>
      <w:r w:rsidR="0056298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офіційному </w:t>
      </w:r>
      <w:proofErr w:type="spellStart"/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="004C471D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="004C471D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виконкому міської ради 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2019 році оприлюднено </w:t>
      </w:r>
      <w:r w:rsidR="004C471D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петиції</w:t>
      </w:r>
      <w:r w:rsidR="001C5E75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2 менше, ніж у 2018 році</w:t>
      </w:r>
      <w:r w:rsidR="0056298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</w:t>
      </w:r>
      <w:r w:rsidR="001C5E75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 з них </w:t>
      </w:r>
      <w:r w:rsidR="0082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питання створення притулку для безпритульних собак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1DE7"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установлений строк не набрал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достатньої </w:t>
      </w:r>
      <w:r w:rsidR="0056298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 підписів на  її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підтримку</w:t>
      </w:r>
      <w:r w:rsidR="008E3241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розглядалася як звернення громадян відповідно до Закону України «Про звернення громадян</w:t>
      </w:r>
      <w:r w:rsidR="00692071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E3241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071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 </w:t>
      </w:r>
      <w:r w:rsidR="00431DE7" w:rsidRPr="00F74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петиції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2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F14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 доступності отримання довідок у виконкомі міської 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(перенесення послуги з  третього поверху на перший) та ремонту тротуарів біля будівель КУ «Попаснянська ЦРЛ» та поліклініки </w:t>
      </w:r>
      <w:r w:rsidR="009E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даний час </w:t>
      </w:r>
      <w:r w:rsidR="008E1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набирають необхідну кількість голосів на їх підтримку</w:t>
      </w:r>
      <w:r w:rsidR="0082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32D63" w:rsidRDefault="00132D63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C41">
        <w:rPr>
          <w:rFonts w:ascii="Times New Roman" w:hAnsi="Times New Roman" w:cs="Times New Roman"/>
          <w:sz w:val="28"/>
          <w:szCs w:val="28"/>
          <w:lang w:val="uk-UA"/>
        </w:rPr>
        <w:t xml:space="preserve">На адресу виконкому міської ради </w:t>
      </w:r>
      <w:r w:rsidR="00562987" w:rsidRPr="0010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C41">
        <w:rPr>
          <w:rFonts w:ascii="Times New Roman" w:hAnsi="Times New Roman" w:cs="Times New Roman"/>
          <w:sz w:val="28"/>
          <w:szCs w:val="28"/>
          <w:lang w:val="uk-UA"/>
        </w:rPr>
        <w:t xml:space="preserve">у продовж  </w:t>
      </w:r>
      <w:r w:rsidR="00692071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 w:rsidRPr="00105C41">
        <w:rPr>
          <w:rFonts w:ascii="Times New Roman" w:hAnsi="Times New Roman" w:cs="Times New Roman"/>
          <w:sz w:val="28"/>
          <w:szCs w:val="28"/>
          <w:lang w:val="uk-UA"/>
        </w:rPr>
        <w:t xml:space="preserve">року надійшло 20 запитів на отримання публічної інформації, що на 20 запитів менше ніж у минулому році  (2018 рік – 40).  Запитувачам надано вичерпні </w:t>
      </w:r>
      <w:r w:rsidR="00692071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та роз’яснення у </w:t>
      </w:r>
      <w:r w:rsidR="00555432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з</w:t>
      </w:r>
      <w:r w:rsidRPr="00105C41">
        <w:rPr>
          <w:rFonts w:ascii="Times New Roman" w:hAnsi="Times New Roman" w:cs="Times New Roman"/>
          <w:sz w:val="28"/>
          <w:szCs w:val="28"/>
          <w:lang w:val="uk-UA"/>
        </w:rPr>
        <w:t>аконом терміни.</w:t>
      </w:r>
    </w:p>
    <w:p w:rsidR="00376CA3" w:rsidRDefault="00376CA3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CA3" w:rsidRDefault="00376CA3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CA3" w:rsidRDefault="00555432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3143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CA3" w:rsidRDefault="00376CA3" w:rsidP="00105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75D" w:rsidRPr="0084075D" w:rsidRDefault="00132D63" w:rsidP="0084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4075D"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 видами звернень, визначених Законом України «Про звернення </w:t>
      </w:r>
      <w:r w:rsid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громадян», </w:t>
      </w:r>
      <w:r w:rsidR="00F0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останніх років преважну</w:t>
      </w:r>
      <w:r w:rsid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більшість від загальної кількості </w:t>
      </w:r>
      <w:r w:rsidR="00F0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складають звернення соціальног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та комунального спрямовування. Кількість звернень за  звітний періо</w:t>
      </w:r>
      <w:r w:rsidR="00692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 2019 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склала:</w:t>
      </w:r>
    </w:p>
    <w:p w:rsidR="00FB14D3" w:rsidRDefault="0084075D" w:rsidP="00FB14D3">
      <w:pPr>
        <w:pStyle w:val="a4"/>
        <w:numPr>
          <w:ilvl w:val="0"/>
          <w:numId w:val="2"/>
        </w:numPr>
        <w:shd w:val="clear" w:color="auto" w:fill="FFFFFF" w:themeFill="background1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84075D">
        <w:rPr>
          <w:rFonts w:eastAsia="Times New Roman"/>
          <w:sz w:val="28"/>
          <w:szCs w:val="28"/>
          <w:lang w:val="uk-UA" w:eastAsia="ru-RU"/>
        </w:rPr>
        <w:t>соціального захисту</w:t>
      </w:r>
      <w:r w:rsidR="00F04695">
        <w:rPr>
          <w:rFonts w:eastAsia="Times New Roman"/>
          <w:sz w:val="28"/>
          <w:szCs w:val="28"/>
          <w:lang w:val="uk-UA" w:eastAsia="ru-RU"/>
        </w:rPr>
        <w:t xml:space="preserve"> -</w:t>
      </w:r>
      <w:r w:rsidRPr="0084075D">
        <w:rPr>
          <w:rFonts w:eastAsia="Times New Roman"/>
          <w:sz w:val="28"/>
          <w:szCs w:val="28"/>
          <w:lang w:val="uk-UA" w:eastAsia="ru-RU"/>
        </w:rPr>
        <w:t xml:space="preserve"> </w:t>
      </w:r>
      <w:r w:rsidR="00F04695">
        <w:rPr>
          <w:rFonts w:eastAsia="Times New Roman"/>
          <w:sz w:val="28"/>
          <w:szCs w:val="28"/>
          <w:lang w:val="uk-UA" w:eastAsia="ru-RU"/>
        </w:rPr>
        <w:t xml:space="preserve"> </w:t>
      </w:r>
      <w:r w:rsidR="00FB14D3">
        <w:rPr>
          <w:rFonts w:eastAsia="Times New Roman"/>
          <w:sz w:val="28"/>
          <w:szCs w:val="28"/>
          <w:lang w:val="uk-UA" w:eastAsia="ru-RU"/>
        </w:rPr>
        <w:t xml:space="preserve">442, </w:t>
      </w:r>
      <w:r w:rsidR="00312750">
        <w:rPr>
          <w:rFonts w:eastAsia="Times New Roman"/>
          <w:sz w:val="28"/>
          <w:szCs w:val="28"/>
          <w:lang w:val="uk-UA" w:eastAsia="ru-RU"/>
        </w:rPr>
        <w:t xml:space="preserve">що </w:t>
      </w:r>
      <w:r w:rsidR="00FB14D3">
        <w:rPr>
          <w:rFonts w:eastAsia="Times New Roman"/>
          <w:sz w:val="28"/>
          <w:szCs w:val="28"/>
          <w:lang w:val="uk-UA" w:eastAsia="ru-RU"/>
        </w:rPr>
        <w:t>на 112 більше</w:t>
      </w:r>
      <w:r w:rsidR="00A679AF">
        <w:rPr>
          <w:rFonts w:eastAsia="Times New Roman"/>
          <w:sz w:val="28"/>
          <w:szCs w:val="28"/>
          <w:lang w:val="uk-UA" w:eastAsia="ru-RU"/>
        </w:rPr>
        <w:t xml:space="preserve"> </w:t>
      </w:r>
      <w:r w:rsidRPr="0084075D">
        <w:rPr>
          <w:rFonts w:eastAsia="Times New Roman"/>
          <w:sz w:val="28"/>
          <w:szCs w:val="28"/>
          <w:lang w:val="uk-UA" w:eastAsia="ru-RU"/>
        </w:rPr>
        <w:t>ніж у мину</w:t>
      </w:r>
      <w:r w:rsidR="00F04695">
        <w:rPr>
          <w:rFonts w:eastAsia="Times New Roman"/>
          <w:sz w:val="28"/>
          <w:szCs w:val="28"/>
          <w:lang w:val="uk-UA" w:eastAsia="ru-RU"/>
        </w:rPr>
        <w:t>лому році (2018</w:t>
      </w:r>
      <w:r w:rsidR="00BC4367">
        <w:rPr>
          <w:rFonts w:eastAsia="Times New Roman"/>
          <w:sz w:val="28"/>
          <w:szCs w:val="28"/>
          <w:lang w:val="uk-UA" w:eastAsia="ru-RU"/>
        </w:rPr>
        <w:t xml:space="preserve"> рік</w:t>
      </w:r>
      <w:r w:rsidRPr="0084075D">
        <w:rPr>
          <w:rFonts w:eastAsia="Times New Roman"/>
          <w:sz w:val="28"/>
          <w:szCs w:val="28"/>
          <w:lang w:val="uk-UA" w:eastAsia="ru-RU"/>
        </w:rPr>
        <w:t xml:space="preserve"> - </w:t>
      </w:r>
      <w:r w:rsidR="00A679AF">
        <w:rPr>
          <w:rFonts w:eastAsia="Times New Roman"/>
          <w:sz w:val="28"/>
          <w:szCs w:val="28"/>
          <w:lang w:val="uk-UA" w:eastAsia="ru-RU"/>
        </w:rPr>
        <w:t>330</w:t>
      </w:r>
      <w:r w:rsidR="00BC4367">
        <w:rPr>
          <w:rFonts w:eastAsia="Times New Roman"/>
          <w:sz w:val="28"/>
          <w:szCs w:val="28"/>
          <w:lang w:val="uk-UA" w:eastAsia="ru-RU"/>
        </w:rPr>
        <w:t xml:space="preserve"> </w:t>
      </w:r>
      <w:r w:rsidRPr="0084075D">
        <w:rPr>
          <w:rFonts w:eastAsia="Times New Roman"/>
          <w:sz w:val="28"/>
          <w:szCs w:val="28"/>
          <w:lang w:val="uk-UA" w:eastAsia="ru-RU"/>
        </w:rPr>
        <w:t>)</w:t>
      </w:r>
      <w:r w:rsidR="00FB14D3">
        <w:rPr>
          <w:rFonts w:eastAsia="Times New Roman"/>
          <w:sz w:val="28"/>
          <w:szCs w:val="28"/>
          <w:lang w:val="uk-UA" w:eastAsia="ru-RU"/>
        </w:rPr>
        <w:t>.</w:t>
      </w:r>
      <w:r w:rsidR="00FB14D3" w:rsidRPr="00FB14D3">
        <w:rPr>
          <w:rFonts w:eastAsia="Times New Roman"/>
          <w:sz w:val="28"/>
          <w:szCs w:val="28"/>
          <w:lang w:val="uk-UA" w:eastAsia="ru-RU"/>
        </w:rPr>
        <w:t xml:space="preserve"> </w:t>
      </w:r>
      <w:r w:rsidR="00FB14D3">
        <w:rPr>
          <w:rFonts w:eastAsia="Times New Roman"/>
          <w:sz w:val="28"/>
          <w:szCs w:val="28"/>
          <w:lang w:val="uk-UA" w:eastAsia="ru-RU"/>
        </w:rPr>
        <w:t>За статистичними даними найбільшу групу соціальних питань складають звернення громадян з надання матеріальної допомоги на лікування т</w:t>
      </w:r>
      <w:r w:rsidR="009E38CF">
        <w:rPr>
          <w:rFonts w:eastAsia="Times New Roman"/>
          <w:sz w:val="28"/>
          <w:szCs w:val="28"/>
          <w:lang w:val="uk-UA" w:eastAsia="ru-RU"/>
        </w:rPr>
        <w:t>а проведення медичних обстежень</w:t>
      </w:r>
      <w:r w:rsidR="00FB14D3">
        <w:rPr>
          <w:rFonts w:eastAsia="Times New Roman"/>
          <w:sz w:val="28"/>
          <w:szCs w:val="28"/>
          <w:lang w:val="uk-UA" w:eastAsia="ru-RU"/>
        </w:rPr>
        <w:t>.</w:t>
      </w:r>
    </w:p>
    <w:p w:rsidR="0084075D" w:rsidRPr="0084075D" w:rsidRDefault="0084075D" w:rsidP="0084075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житлово-комунального 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217, 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70 звернень більше ніж у минуло</w:t>
      </w:r>
      <w:r w:rsidR="0007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році 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(2018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14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Найчастіше мешканці міста у цій тематичній групі порушували питання належного утри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мання та обслуговування житла, ремонту доріг, </w:t>
      </w:r>
      <w:r w:rsidR="00FB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санітарного стану та благоустрою прибудинкових територій,</w:t>
      </w:r>
      <w:r w:rsidR="000A0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 житла для видачі актів про його пошкодження</w:t>
      </w:r>
      <w:r w:rsidR="0031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результаті бойових дій та інше.</w:t>
      </w:r>
    </w:p>
    <w:p w:rsidR="0084075D" w:rsidRDefault="0084075D" w:rsidP="00547EEA">
      <w:pPr>
        <w:pStyle w:val="a4"/>
        <w:shd w:val="clear" w:color="auto" w:fill="FFFFFF" w:themeFill="background1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:rsidR="0084075D" w:rsidRPr="00547EEA" w:rsidRDefault="00353719" w:rsidP="00921A9E">
      <w:pPr>
        <w:pStyle w:val="a4"/>
        <w:shd w:val="clear" w:color="auto" w:fill="FFFFFF" w:themeFill="background1"/>
        <w:spacing w:after="150" w:line="240" w:lineRule="auto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505E" w:rsidRDefault="006C3B90" w:rsidP="001850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0A0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8505E" w:rsidRP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Також, у зверненнях порушувались питання ж</w:t>
      </w:r>
      <w:r w:rsid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итлової політики  – 1 (2018- 6</w:t>
      </w:r>
      <w:r w:rsidR="0018505E" w:rsidRP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звернень),  аграрної політики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– 4 (2018 рік – 5</w:t>
      </w:r>
      <w:r w:rsidR="0018505E" w:rsidRP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 та зв’язку – 1 (2018</w:t>
      </w:r>
      <w:r w:rsidR="00BC4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сім’ї, дітей, молоді, гендерної рівності, фізичної  культури і спорту  - 1 (2018 рік – 0)  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 питання –</w:t>
      </w:r>
      <w:r w:rsidR="0018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62</w:t>
      </w:r>
      <w:r w:rsidR="00725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(2018 рік – 58).</w:t>
      </w:r>
      <w:r w:rsidR="0018505E" w:rsidRPr="0018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2195E" w:rsidRDefault="00921A9E" w:rsidP="00DA67F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Особлива увага приділялася</w:t>
      </w:r>
      <w:r w:rsidR="00DA67FF" w:rsidRP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розгляду звернен</w:t>
      </w:r>
      <w:r w:rsidR="0049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 пільгових категорій громадян</w:t>
      </w:r>
      <w:r w:rsidR="00DA67FF" w:rsidRP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За відповідний період до </w:t>
      </w:r>
      <w:r w:rsid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виконкому міської ради</w:t>
      </w:r>
      <w:r w:rsidR="00DA67FF" w:rsidRP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надійшло звернень </w:t>
      </w:r>
      <w:r w:rsid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пенсіонерів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466, інвалідів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1,2,3 групи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інвалідів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дитинства  - 59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A67FF"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багатодітних сімей та самотні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8,</w:t>
      </w:r>
      <w:r w:rsidR="00DA67FF"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АТО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(ООС)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</w:t>
      </w:r>
      <w:r w:rsidR="00DA67FF"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ліквідації наслідків аварії 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DA67FF" w:rsidRPr="008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ЧАЕС  – 72.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Гендерний аналіз </w:t>
      </w:r>
      <w:r w:rsidR="00B66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показав, що </w:t>
      </w:r>
      <w:r w:rsidR="00753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різних соціальних та демографічних груп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міста 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</w:t>
      </w:r>
      <w:r w:rsidR="00B66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звернень від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жінок – 432</w:t>
      </w:r>
      <w:r w:rsidR="003E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 99 більше ніж у минулому році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(2018</w:t>
      </w:r>
      <w:r w:rsidR="00155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–</w:t>
      </w:r>
      <w:r w:rsidR="003E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333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E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найменш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6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чоловіків  - 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296</w:t>
      </w:r>
      <w:r w:rsidR="003E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 на 81 більше ніж у минулому році (2018</w:t>
      </w:r>
      <w:r w:rsidR="00165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-215</w:t>
      </w:r>
      <w:r w:rsidR="00B14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140E5" w:rsidRDefault="00B140E5" w:rsidP="00DA67F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FEA" w:rsidRDefault="00B140E5" w:rsidP="002A138F">
      <w:pPr>
        <w:spacing w:after="0" w:line="240" w:lineRule="auto"/>
        <w:ind w:firstLine="142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224F91">
        <w:rPr>
          <w:noProof/>
          <w:lang w:eastAsia="ru-RU"/>
        </w:rPr>
        <w:drawing>
          <wp:inline distT="0" distB="0" distL="0" distR="0" wp14:anchorId="6D6F6091" wp14:editId="64D896E8">
            <wp:extent cx="2771775" cy="18573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4F91">
        <w:rPr>
          <w:noProof/>
          <w:lang w:eastAsia="ru-RU"/>
        </w:rPr>
        <w:drawing>
          <wp:inline distT="0" distB="0" distL="0" distR="0" wp14:anchorId="2B9CD56A" wp14:editId="3AB408E4">
            <wp:extent cx="2714625" cy="18573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40E5" w:rsidRDefault="00B140E5" w:rsidP="00DA67FF">
      <w:pPr>
        <w:spacing w:after="0" w:line="240" w:lineRule="auto"/>
        <w:ind w:firstLine="360"/>
        <w:contextualSpacing/>
        <w:jc w:val="both"/>
        <w:rPr>
          <w:lang w:val="uk-UA"/>
        </w:rPr>
      </w:pPr>
    </w:p>
    <w:p w:rsidR="00DA67FF" w:rsidRPr="008562D6" w:rsidRDefault="00A91021" w:rsidP="00A91021">
      <w:pPr>
        <w:tabs>
          <w:tab w:val="left" w:pos="126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lang w:val="uk-UA"/>
        </w:rPr>
        <w:tab/>
      </w:r>
    </w:p>
    <w:p w:rsidR="000F7E97" w:rsidRDefault="009123AA" w:rsidP="00A7691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E97">
        <w:rPr>
          <w:rFonts w:ascii="Times New Roman" w:hAnsi="Times New Roman" w:cs="Times New Roman"/>
          <w:sz w:val="28"/>
          <w:szCs w:val="28"/>
          <w:lang w:val="uk-UA"/>
        </w:rPr>
        <w:t>Щодо всіх пропозицій, заяв і скарг громадян</w:t>
      </w:r>
      <w:r w:rsidR="00DA67FF" w:rsidRPr="000F7E97">
        <w:rPr>
          <w:rFonts w:ascii="Times New Roman" w:hAnsi="Times New Roman" w:cs="Times New Roman"/>
          <w:sz w:val="28"/>
          <w:szCs w:val="28"/>
          <w:lang w:val="uk-UA"/>
        </w:rPr>
        <w:t>, які надійшли до виконкому міської ради,</w:t>
      </w:r>
      <w:r w:rsidR="000F7E97" w:rsidRPr="000F7E97">
        <w:rPr>
          <w:rFonts w:ascii="Times New Roman" w:hAnsi="Times New Roman" w:cs="Times New Roman"/>
          <w:sz w:val="28"/>
          <w:szCs w:val="28"/>
          <w:lang w:val="uk-UA"/>
        </w:rPr>
        <w:t xml:space="preserve"> вживалися відповідні заходи,</w:t>
      </w:r>
      <w:r w:rsidR="000F7E97" w:rsidRPr="000F7E97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проводилася </w:t>
      </w:r>
      <w:r w:rsidR="000F7E97" w:rsidRPr="00454A55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роз’яснювальна робот</w:t>
      </w:r>
      <w:r w:rsidR="000F7E97" w:rsidRPr="000F7E97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а з громадянами </w:t>
      </w:r>
      <w:r w:rsidR="000F7E97" w:rsidRPr="00454A55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щодо шляхів вирішення порушених ними питань.</w:t>
      </w:r>
    </w:p>
    <w:p w:rsidR="006C3B90" w:rsidRDefault="009123AA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 звернення розглянуті  спеціалістами виконкому міської ради в межах компетенції.</w:t>
      </w:r>
    </w:p>
    <w:p w:rsidR="00454A55" w:rsidRPr="00454A55" w:rsidRDefault="000F7E97" w:rsidP="00454A55">
      <w:pPr>
        <w:spacing w:after="150" w:line="240" w:lineRule="auto"/>
        <w:ind w:firstLine="708"/>
        <w:jc w:val="both"/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Вирішено</w:t>
      </w:r>
      <w:r w:rsidR="00454A55" w:rsidRPr="00454A55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позитивно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–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535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звернень</w:t>
      </w:r>
      <w:r w:rsidR="00454A55" w:rsidRPr="00454A55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Pr="000F7E9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надані аргументовані 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роз’ясненн</w:t>
      </w:r>
      <w:r>
        <w:rPr>
          <w:rFonts w:ascii="ProbaPro" w:eastAsia="Times New Roman" w:hAnsi="ProbaPro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я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- </w:t>
      </w:r>
      <w:r w:rsidR="004B3532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1</w:t>
      </w:r>
      <w:r w:rsidR="00081F6B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6</w:t>
      </w:r>
      <w:r w:rsidR="00751578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6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відмовлено у задоволенні – 2, </w:t>
      </w:r>
      <w:r w:rsidR="004B3532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знаходяться у стадії розгляду 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–</w:t>
      </w:r>
      <w:r w:rsidR="00081F6B" w:rsidRPr="00081F6B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14</w:t>
      </w:r>
      <w:r w:rsidR="00646A6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знаходяться на контролі до остаточного вирішення </w:t>
      </w:r>
      <w:r w:rsidR="009B5E08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- </w:t>
      </w:r>
      <w:r w:rsidR="00751578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11</w:t>
      </w:r>
      <w:r w:rsidR="009B5E08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7E27D9" w:rsidRPr="007E27D9" w:rsidRDefault="00454A55" w:rsidP="00454A55">
      <w:pPr>
        <w:spacing w:after="0" w:line="240" w:lineRule="auto"/>
        <w:rPr>
          <w:rFonts w:ascii="ProbaPro" w:eastAsia="Times New Roman" w:hAnsi="ProbaPro" w:cs="Times New Roman"/>
          <w:b/>
          <w:bCs/>
          <w:color w:val="212529"/>
          <w:sz w:val="27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454A55">
        <w:rPr>
          <w:rFonts w:ascii="ProbaPro" w:eastAsia="Times New Roman" w:hAnsi="ProbaPro" w:cs="Times New Roman"/>
          <w:b/>
          <w:bCs/>
          <w:color w:val="212529"/>
          <w:sz w:val="27"/>
          <w:szCs w:val="27"/>
          <w:bdr w:val="none" w:sz="0" w:space="0" w:color="auto" w:frame="1"/>
          <w:shd w:val="clear" w:color="auto" w:fill="FFFFFF"/>
          <w:lang w:eastAsia="ru-RU"/>
        </w:rPr>
        <w:t>   </w:t>
      </w:r>
    </w:p>
    <w:p w:rsidR="00C851BF" w:rsidRPr="00E749E2" w:rsidRDefault="00C851BF" w:rsidP="00D5105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       </w:t>
      </w:r>
      <w:r w:rsidRPr="00E749E2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  <w:lang w:val="uk-UA" w:eastAsia="ru-RU"/>
        </w:rPr>
        <w:t xml:space="preserve">Питання, порушені у зверненнях громадян, які залишаються на контролі: </w:t>
      </w:r>
      <w:r w:rsidRPr="00E749E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E749E2" w:rsidRPr="006C368E" w:rsidRDefault="00E749E2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>Установлення  критої  автобусної зупинки по вул. Миру (в районі будинку  № 24)</w:t>
      </w:r>
      <w:r w:rsidR="00D51058">
        <w:rPr>
          <w:rFonts w:ascii="Times New Roman" w:hAnsi="Times New Roman" w:cs="Times New Roman"/>
          <w:sz w:val="27"/>
          <w:szCs w:val="27"/>
          <w:lang w:val="en-US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749E2" w:rsidRPr="006C368E" w:rsidRDefault="00E749E2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Потребує пошуку грошових коштів.</w:t>
      </w:r>
    </w:p>
    <w:p w:rsidR="00E749E2" w:rsidRPr="00E91AEC" w:rsidRDefault="00E749E2" w:rsidP="00D51058">
      <w:pPr>
        <w:pStyle w:val="a3"/>
        <w:ind w:left="7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E749E2" w:rsidRPr="006C368E" w:rsidRDefault="00E749E2" w:rsidP="00D5105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Прочищення системи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ливневог</w:t>
      </w:r>
      <w:r w:rsidR="00D51058">
        <w:rPr>
          <w:rFonts w:ascii="Times New Roman" w:hAnsi="Times New Roman" w:cs="Times New Roman"/>
          <w:sz w:val="27"/>
          <w:szCs w:val="27"/>
          <w:lang w:val="uk-UA"/>
        </w:rPr>
        <w:t>о</w:t>
      </w:r>
      <w:proofErr w:type="spellEnd"/>
      <w:r w:rsidR="00D51058">
        <w:rPr>
          <w:rFonts w:ascii="Times New Roman" w:hAnsi="Times New Roman" w:cs="Times New Roman"/>
          <w:sz w:val="27"/>
          <w:szCs w:val="27"/>
          <w:lang w:val="uk-UA"/>
        </w:rPr>
        <w:t xml:space="preserve"> водовідведення наприкінці вулиці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Мічуріна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749E2" w:rsidRDefault="00E749E2" w:rsidP="00D51058">
      <w:pPr>
        <w:pStyle w:val="a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У 2020 робота з очистки системи </w:t>
      </w:r>
      <w:proofErr w:type="spellStart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ливневого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водовідведення по вул. Мічуріна буде продовжена  ПКП «СКП» за настанням сприятливих погодних умов.</w:t>
      </w:r>
    </w:p>
    <w:p w:rsidR="00E91AEC" w:rsidRDefault="00E91AEC" w:rsidP="00D51058">
      <w:pPr>
        <w:pStyle w:val="a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</w:p>
    <w:p w:rsidR="00E91AEC" w:rsidRDefault="00E91AEC" w:rsidP="00D51058">
      <w:pPr>
        <w:pStyle w:val="a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</w:p>
    <w:p w:rsidR="00E91AEC" w:rsidRDefault="00E91AEC" w:rsidP="00D51058">
      <w:pPr>
        <w:pStyle w:val="a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</w:p>
    <w:p w:rsidR="00E91AEC" w:rsidRPr="00E91AEC" w:rsidRDefault="00E91AEC" w:rsidP="00D51058">
      <w:pPr>
        <w:pStyle w:val="a7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E749E2" w:rsidRPr="006C368E" w:rsidRDefault="00E749E2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Влаштування 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ливневих</w:t>
      </w:r>
      <w:proofErr w:type="spellEnd"/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стоків у  р-ні будинку № 7 по вул.  Донецька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749E2" w:rsidRDefault="00E749E2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Роботи з облаштування труби для відведення води з вул. Донецька будуть виконуватися ПКП «СКП» за настанням сприятливих погодних умов.</w:t>
      </w:r>
    </w:p>
    <w:p w:rsidR="00E91AEC" w:rsidRPr="00E91AEC" w:rsidRDefault="00E91AEC" w:rsidP="00D51058">
      <w:pPr>
        <w:pStyle w:val="a3"/>
        <w:ind w:left="72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749E2" w:rsidRPr="006C368E" w:rsidRDefault="00E749E2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>Ямковий ремонт асфальтобетонного покриття по вул. Матросова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749E2" w:rsidRPr="00D51058" w:rsidRDefault="00E749E2" w:rsidP="00D51058">
      <w:pPr>
        <w:pStyle w:val="a3"/>
        <w:ind w:left="72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Роботи з поточного ремонту дорожнього полотна по вул. Матросова заплановані на 2020 рік та </w:t>
      </w:r>
      <w:r w:rsidR="009E38CF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будуть 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виконані </w:t>
      </w:r>
      <w:proofErr w:type="spellStart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Попаснянським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КП «СКП</w:t>
      </w:r>
      <w:r w:rsidRPr="006C368E">
        <w:rPr>
          <w:rFonts w:ascii="Times New Roman" w:hAnsi="Times New Roman" w:cs="Times New Roman"/>
          <w:b/>
          <w:i/>
          <w:sz w:val="27"/>
          <w:szCs w:val="27"/>
          <w:lang w:val="uk-UA"/>
        </w:rPr>
        <w:t>»</w:t>
      </w:r>
      <w:r w:rsidR="00D51058" w:rsidRPr="00D51058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E749E2" w:rsidRPr="00E91AEC" w:rsidRDefault="00E749E2" w:rsidP="00D51058">
      <w:pPr>
        <w:pStyle w:val="a3"/>
        <w:ind w:left="72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749E2" w:rsidRPr="006C368E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Ремонт вимощення будинку № 144 по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вул.Первомайська</w:t>
      </w:r>
      <w:proofErr w:type="spellEnd"/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6C368E" w:rsidRPr="00D51058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Питання буде розглянуто при формуванні бюджету розвитку міста на 2020 рік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</w:p>
    <w:p w:rsidR="006C368E" w:rsidRPr="00E91AEC" w:rsidRDefault="006C368E" w:rsidP="00D51058">
      <w:pPr>
        <w:pStyle w:val="a3"/>
        <w:ind w:left="72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749E2" w:rsidRPr="006C368E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>Ремонт  частини автомобільної дороги  вул. Ніколенка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6C368E" w:rsidRPr="00D51058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Питання буде розглянуто за умови наявності коштів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</w:p>
    <w:p w:rsidR="006C368E" w:rsidRPr="00E91AEC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6C368E" w:rsidRPr="00E91AEC" w:rsidRDefault="00751578" w:rsidP="00D51058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6C368E" w:rsidRPr="006C368E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>Благоустрій криниці у районі гімназії № 25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</w:p>
    <w:p w:rsidR="006C368E" w:rsidRPr="00D51058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Потребує пошуку грошових коштів для його реалізації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</w:p>
    <w:p w:rsidR="006C368E" w:rsidRPr="00E91AEC" w:rsidRDefault="006C368E" w:rsidP="00D51058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C368E" w:rsidRPr="006C368E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Облаштування централізованого водопостачання будинку № 41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вул.Склозаводська</w:t>
      </w:r>
      <w:proofErr w:type="spellEnd"/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</w:p>
    <w:p w:rsidR="006C368E" w:rsidRPr="00D51058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en-US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При наявності  фінансування питання з облаштування централізованого водоп</w:t>
      </w:r>
      <w:r w:rsidR="009E38CF">
        <w:rPr>
          <w:rFonts w:ascii="Times New Roman" w:hAnsi="Times New Roman" w:cs="Times New Roman"/>
          <w:i/>
          <w:sz w:val="27"/>
          <w:szCs w:val="27"/>
          <w:lang w:val="uk-UA"/>
        </w:rPr>
        <w:t>остачання в будинку № 41 по вул.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proofErr w:type="spellStart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Склозаводська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буде розглянуто в 2020 році</w:t>
      </w:r>
      <w:r w:rsidR="00D51058">
        <w:rPr>
          <w:rFonts w:ascii="Times New Roman" w:hAnsi="Times New Roman" w:cs="Times New Roman"/>
          <w:i/>
          <w:sz w:val="27"/>
          <w:szCs w:val="27"/>
          <w:lang w:val="en-US"/>
        </w:rPr>
        <w:t>.</w:t>
      </w:r>
    </w:p>
    <w:p w:rsidR="006C368E" w:rsidRPr="00E91AEC" w:rsidRDefault="006C368E" w:rsidP="00D51058">
      <w:pPr>
        <w:pStyle w:val="a3"/>
        <w:ind w:left="7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E91AEC" w:rsidRPr="00E91AEC" w:rsidRDefault="006C368E" w:rsidP="00D510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91AE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Облаштування вимощення біля другого під’їзду будинку № 48 по </w:t>
      </w:r>
    </w:p>
    <w:p w:rsidR="006C368E" w:rsidRPr="003F6018" w:rsidRDefault="00E91AEC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proofErr w:type="spellStart"/>
      <w:r w:rsidR="006C368E" w:rsidRPr="006C368E">
        <w:rPr>
          <w:rFonts w:ascii="Times New Roman" w:hAnsi="Times New Roman" w:cs="Times New Roman"/>
          <w:sz w:val="27"/>
          <w:szCs w:val="27"/>
          <w:lang w:val="uk-UA"/>
        </w:rPr>
        <w:t>вул.Первомайська</w:t>
      </w:r>
      <w:proofErr w:type="spellEnd"/>
      <w:r w:rsidR="00D51058" w:rsidRPr="003F6018">
        <w:rPr>
          <w:rFonts w:ascii="Times New Roman" w:hAnsi="Times New Roman" w:cs="Times New Roman"/>
          <w:sz w:val="27"/>
          <w:szCs w:val="27"/>
        </w:rPr>
        <w:t>.</w:t>
      </w:r>
    </w:p>
    <w:p w:rsidR="00E91AEC" w:rsidRDefault="00E91AEC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Питання буде розглянуто при формуванні бюджету розвитку міста на </w:t>
      </w:r>
    </w:p>
    <w:p w:rsidR="006C368E" w:rsidRPr="00D51058" w:rsidRDefault="00E91AEC" w:rsidP="00D51058">
      <w:pPr>
        <w:pStyle w:val="a3"/>
        <w:ind w:left="720"/>
        <w:jc w:val="both"/>
        <w:rPr>
          <w:rFonts w:ascii="Times New Roman" w:hAnsi="Times New Roman" w:cs="Times New Roman"/>
          <w:i/>
          <w:sz w:val="27"/>
          <w:szCs w:val="27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>2020 рік</w:t>
      </w:r>
      <w:r w:rsidR="00D51058">
        <w:rPr>
          <w:rFonts w:ascii="Times New Roman" w:hAnsi="Times New Roman" w:cs="Times New Roman"/>
          <w:i/>
          <w:sz w:val="27"/>
          <w:szCs w:val="27"/>
          <w:lang w:val="en-US"/>
        </w:rPr>
        <w:t>.</w:t>
      </w:r>
    </w:p>
    <w:p w:rsidR="006C368E" w:rsidRPr="00E91AEC" w:rsidRDefault="006C368E" w:rsidP="00E91AEC">
      <w:pPr>
        <w:pStyle w:val="a3"/>
        <w:ind w:left="72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C368E" w:rsidRPr="006C368E" w:rsidRDefault="006C368E" w:rsidP="00E91AEC">
      <w:pPr>
        <w:pStyle w:val="a3"/>
        <w:numPr>
          <w:ilvl w:val="0"/>
          <w:numId w:val="7"/>
        </w:numPr>
        <w:ind w:left="851" w:hanging="491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Скарга   мешканців  будинків  № 4,6,10 </w:t>
      </w:r>
      <w:r w:rsidR="00C20193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вул. Бахмутська </w:t>
      </w:r>
      <w:r w:rsidR="00C201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та будинків </w:t>
      </w:r>
      <w:r w:rsidR="00C20193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№ 1а,1б </w:t>
      </w:r>
      <w:proofErr w:type="spellStart"/>
      <w:r w:rsidRPr="006C368E">
        <w:rPr>
          <w:rFonts w:ascii="Times New Roman" w:hAnsi="Times New Roman" w:cs="Times New Roman"/>
          <w:sz w:val="27"/>
          <w:szCs w:val="27"/>
          <w:lang w:val="uk-UA"/>
        </w:rPr>
        <w:t>вул.Донецька</w:t>
      </w:r>
      <w:proofErr w:type="spellEnd"/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на загазованість угаром повітря, задимленість, дрейфуючі хлоп’я сажі, неможливість відкрити вікна стосовно функціонування вугільної  котельної дитячого дошкільного закладу в мікрорайоні «Черемушки»</w:t>
      </w:r>
      <w:r w:rsidR="00D51058" w:rsidRPr="00D5105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E91AEC" w:rsidRDefault="00E91AEC" w:rsidP="00D51058">
      <w:pPr>
        <w:spacing w:line="240" w:lineRule="auto"/>
        <w:ind w:left="34" w:firstLine="108"/>
        <w:contextualSpacing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>Замовником послуг (ДНЗ № 3) та власником об’єкту  (Попаснянська</w:t>
      </w:r>
    </w:p>
    <w:p w:rsidR="00E91AEC" w:rsidRDefault="00E91AEC" w:rsidP="00D51058">
      <w:pPr>
        <w:spacing w:line="240" w:lineRule="auto"/>
        <w:ind w:left="34" w:firstLine="108"/>
        <w:contextualSpacing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Р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ДА)  вирішується питання щодо розірвання договору з діючим </w:t>
      </w:r>
    </w:p>
    <w:p w:rsidR="006C368E" w:rsidRPr="00E91AEC" w:rsidRDefault="00E91AEC" w:rsidP="00D51058">
      <w:pPr>
        <w:spacing w:line="240" w:lineRule="auto"/>
        <w:ind w:left="34" w:firstLine="108"/>
        <w:contextualSpacing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</w:t>
      </w:r>
      <w:r w:rsidR="006C368E"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надавачем </w:t>
      </w:r>
      <w:r w:rsid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послуг з теплопостачання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</w:t>
      </w:r>
      <w:r w:rsid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 </w:t>
      </w:r>
      <w:r w:rsidR="00C20193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</w:p>
    <w:p w:rsidR="006C368E" w:rsidRPr="006C368E" w:rsidRDefault="006C368E" w:rsidP="00E91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 xml:space="preserve">Усунення ситуації, пов’язаної  з затопленням двору під час дощів  по </w:t>
      </w:r>
    </w:p>
    <w:p w:rsidR="006C368E" w:rsidRPr="00D51058" w:rsidRDefault="006C368E" w:rsidP="00E91AEC">
      <w:pPr>
        <w:pStyle w:val="a3"/>
        <w:ind w:left="72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6C368E">
        <w:rPr>
          <w:rFonts w:ascii="Times New Roman" w:hAnsi="Times New Roman" w:cs="Times New Roman"/>
          <w:sz w:val="27"/>
          <w:szCs w:val="27"/>
          <w:lang w:val="uk-UA"/>
        </w:rPr>
        <w:t>вул. Садова,63</w:t>
      </w:r>
      <w:r w:rsidR="00D51058" w:rsidRPr="00D51058">
        <w:rPr>
          <w:rFonts w:ascii="Times New Roman" w:hAnsi="Times New Roman" w:cs="Times New Roman"/>
          <w:sz w:val="27"/>
          <w:szCs w:val="27"/>
        </w:rPr>
        <w:t>.</w:t>
      </w:r>
    </w:p>
    <w:p w:rsidR="006C368E" w:rsidRPr="006C368E" w:rsidRDefault="006C368E" w:rsidP="00E91AEC">
      <w:pPr>
        <w:pStyle w:val="a3"/>
        <w:ind w:left="851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У 2020 робота з очистки системи </w:t>
      </w:r>
      <w:proofErr w:type="spellStart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ливневого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водовідведення по вул. </w:t>
      </w:r>
      <w:proofErr w:type="spellStart"/>
      <w:r w:rsidR="009E38CF">
        <w:rPr>
          <w:rFonts w:ascii="Times New Roman" w:hAnsi="Times New Roman" w:cs="Times New Roman"/>
          <w:i/>
          <w:sz w:val="27"/>
          <w:szCs w:val="27"/>
        </w:rPr>
        <w:t>Садова</w:t>
      </w:r>
      <w:proofErr w:type="spellEnd"/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 xml:space="preserve"> буде продовжена  ПКП «СКП» за настанням сприятливих 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C368E">
        <w:rPr>
          <w:rFonts w:ascii="Times New Roman" w:hAnsi="Times New Roman" w:cs="Times New Roman"/>
          <w:i/>
          <w:sz w:val="27"/>
          <w:szCs w:val="27"/>
          <w:lang w:val="uk-UA"/>
        </w:rPr>
        <w:t>погодних умов</w:t>
      </w:r>
      <w:r w:rsidR="00D51058" w:rsidRPr="00D51058">
        <w:rPr>
          <w:rFonts w:ascii="Times New Roman" w:hAnsi="Times New Roman" w:cs="Times New Roman"/>
          <w:i/>
          <w:sz w:val="27"/>
          <w:szCs w:val="27"/>
        </w:rPr>
        <w:t>.</w:t>
      </w:r>
      <w:r w:rsidRPr="006C368E">
        <w:rPr>
          <w:rStyle w:val="FontStyle13"/>
          <w:b w:val="0"/>
          <w:i/>
          <w:sz w:val="27"/>
          <w:szCs w:val="27"/>
          <w:lang w:val="uk-UA"/>
        </w:rPr>
        <w:t xml:space="preserve">  </w:t>
      </w:r>
      <w:r w:rsidRPr="00D51058">
        <w:rPr>
          <w:rStyle w:val="FontStyle13"/>
          <w:b w:val="0"/>
          <w:i/>
          <w:sz w:val="27"/>
          <w:szCs w:val="27"/>
          <w:lang w:val="uk-UA"/>
        </w:rPr>
        <w:t xml:space="preserve"> </w:t>
      </w:r>
    </w:p>
    <w:p w:rsidR="00E749E2" w:rsidRPr="006C368E" w:rsidRDefault="00E749E2" w:rsidP="00E91AEC">
      <w:pPr>
        <w:pStyle w:val="a3"/>
        <w:ind w:left="851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</w:p>
    <w:p w:rsidR="00A87C11" w:rsidRDefault="00A87C11" w:rsidP="00A87C1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Робота зі зверненнями громадян залишається одним із пр</w:t>
      </w:r>
      <w:r w:rsid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іоритетних напрямків діяльності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виконкому міської ради,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об’єднан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ня зусиль 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виконкому,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в, організацій і установ міста 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дозволяють вир</w:t>
      </w:r>
      <w:r w:rsidR="00DA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ішувати порушені мешканцями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міста</w:t>
      </w:r>
      <w:r w:rsidRPr="00A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питання, надавати допомогу малозабезпеченим верствам населення.</w:t>
      </w:r>
    </w:p>
    <w:p w:rsidR="00E91AEC" w:rsidRPr="00A87C11" w:rsidRDefault="00E91AEC" w:rsidP="00A87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72E" w:rsidRPr="00CD772E" w:rsidRDefault="00CD772E" w:rsidP="00CD772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7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Опрацювавши  інформацію щодо надходження звернень  громадян до виконавчого комітету міської ради </w:t>
      </w:r>
      <w:r w:rsidRP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2012 -2019 р</w:t>
      </w:r>
      <w:r w:rsidR="009E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оків, у графіку, який наведений</w:t>
      </w:r>
      <w:r w:rsidRP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нижче, </w:t>
      </w:r>
      <w:r w:rsidRPr="00CD772E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відображені  результати </w:t>
      </w:r>
      <w:r w:rsidRP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статистичного звіту про кількість</w:t>
      </w:r>
      <w:r w:rsidRPr="00CD7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зареєстрованих  у виконкомі міської ради  звернень громадян  та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особистому прийомі:</w:t>
      </w:r>
    </w:p>
    <w:p w:rsidR="00A87C11" w:rsidRDefault="00A87C11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C7295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31A2" w:rsidRDefault="002F31A2" w:rsidP="003F60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018" w:rsidRDefault="003F6018" w:rsidP="003F60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018" w:rsidRDefault="003F6018" w:rsidP="003F60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загального відділу                                      Вікторія Степанова</w:t>
      </w: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72E" w:rsidRDefault="00CD772E" w:rsidP="00CD772E">
      <w:pPr>
        <w:spacing w:after="150" w:line="240" w:lineRule="auto"/>
        <w:ind w:firstLine="708"/>
        <w:jc w:val="both"/>
        <w:rPr>
          <w:lang w:val="uk-UA"/>
        </w:rPr>
      </w:pPr>
    </w:p>
    <w:p w:rsidR="00D94B58" w:rsidRDefault="00CD772E" w:rsidP="00A76912">
      <w:pPr>
        <w:spacing w:after="15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94B58" w:rsidRDefault="00D94B58" w:rsidP="00A76912">
      <w:pPr>
        <w:spacing w:after="150" w:line="240" w:lineRule="auto"/>
        <w:ind w:firstLine="708"/>
        <w:jc w:val="both"/>
        <w:rPr>
          <w:lang w:val="uk-UA"/>
        </w:rPr>
      </w:pPr>
    </w:p>
    <w:p w:rsidR="00D94B58" w:rsidRPr="00D94B58" w:rsidRDefault="00D94B58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F31A2" w:rsidSect="00921A9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77E5"/>
    <w:multiLevelType w:val="hybridMultilevel"/>
    <w:tmpl w:val="967C85E4"/>
    <w:lvl w:ilvl="0" w:tplc="3694289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D039C7"/>
    <w:multiLevelType w:val="multilevel"/>
    <w:tmpl w:val="A85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B631B"/>
    <w:multiLevelType w:val="hybridMultilevel"/>
    <w:tmpl w:val="446AE4E8"/>
    <w:lvl w:ilvl="0" w:tplc="9E20C12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43BE"/>
    <w:multiLevelType w:val="hybridMultilevel"/>
    <w:tmpl w:val="01BA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4892"/>
    <w:multiLevelType w:val="hybridMultilevel"/>
    <w:tmpl w:val="2CCE349A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87807"/>
    <w:multiLevelType w:val="hybridMultilevel"/>
    <w:tmpl w:val="F7287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0E80"/>
    <w:multiLevelType w:val="hybridMultilevel"/>
    <w:tmpl w:val="437442A8"/>
    <w:lvl w:ilvl="0" w:tplc="BA68A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36"/>
    <w:rsid w:val="0000137A"/>
    <w:rsid w:val="00020C63"/>
    <w:rsid w:val="00070603"/>
    <w:rsid w:val="0007360B"/>
    <w:rsid w:val="00081F6B"/>
    <w:rsid w:val="000A015A"/>
    <w:rsid w:val="000F7E97"/>
    <w:rsid w:val="00105C41"/>
    <w:rsid w:val="00130A74"/>
    <w:rsid w:val="00132D63"/>
    <w:rsid w:val="00136273"/>
    <w:rsid w:val="00146691"/>
    <w:rsid w:val="00155908"/>
    <w:rsid w:val="00165AD4"/>
    <w:rsid w:val="00170F27"/>
    <w:rsid w:val="00183023"/>
    <w:rsid w:val="0018505E"/>
    <w:rsid w:val="001C5E75"/>
    <w:rsid w:val="001E7639"/>
    <w:rsid w:val="00224F91"/>
    <w:rsid w:val="002742BE"/>
    <w:rsid w:val="002A138F"/>
    <w:rsid w:val="002D1467"/>
    <w:rsid w:val="002F31A2"/>
    <w:rsid w:val="00306B77"/>
    <w:rsid w:val="00312750"/>
    <w:rsid w:val="0032195E"/>
    <w:rsid w:val="00353719"/>
    <w:rsid w:val="00376CA3"/>
    <w:rsid w:val="00382473"/>
    <w:rsid w:val="00385AE8"/>
    <w:rsid w:val="003E2E66"/>
    <w:rsid w:val="003F6018"/>
    <w:rsid w:val="003F770C"/>
    <w:rsid w:val="00414CF0"/>
    <w:rsid w:val="00415AF7"/>
    <w:rsid w:val="00423E0C"/>
    <w:rsid w:val="00431DE7"/>
    <w:rsid w:val="00454A55"/>
    <w:rsid w:val="00470B8B"/>
    <w:rsid w:val="00480F96"/>
    <w:rsid w:val="00492B0C"/>
    <w:rsid w:val="0049521B"/>
    <w:rsid w:val="004B3532"/>
    <w:rsid w:val="004C471D"/>
    <w:rsid w:val="004D227B"/>
    <w:rsid w:val="004D6E35"/>
    <w:rsid w:val="005143D6"/>
    <w:rsid w:val="00547EEA"/>
    <w:rsid w:val="00555432"/>
    <w:rsid w:val="00562987"/>
    <w:rsid w:val="005B251B"/>
    <w:rsid w:val="005C2F2E"/>
    <w:rsid w:val="005C4391"/>
    <w:rsid w:val="00602505"/>
    <w:rsid w:val="00640302"/>
    <w:rsid w:val="00646A63"/>
    <w:rsid w:val="006811C9"/>
    <w:rsid w:val="00692071"/>
    <w:rsid w:val="006B2AD2"/>
    <w:rsid w:val="006C368E"/>
    <w:rsid w:val="006C3B90"/>
    <w:rsid w:val="006D3ED0"/>
    <w:rsid w:val="0071466D"/>
    <w:rsid w:val="007251BA"/>
    <w:rsid w:val="00751578"/>
    <w:rsid w:val="00753030"/>
    <w:rsid w:val="00783748"/>
    <w:rsid w:val="007E27D9"/>
    <w:rsid w:val="007F57ED"/>
    <w:rsid w:val="00802835"/>
    <w:rsid w:val="00811992"/>
    <w:rsid w:val="0082422D"/>
    <w:rsid w:val="0082693A"/>
    <w:rsid w:val="0084075D"/>
    <w:rsid w:val="00844E88"/>
    <w:rsid w:val="0085338C"/>
    <w:rsid w:val="008562D6"/>
    <w:rsid w:val="00886319"/>
    <w:rsid w:val="008A3B60"/>
    <w:rsid w:val="008D29CC"/>
    <w:rsid w:val="008E149D"/>
    <w:rsid w:val="008E3241"/>
    <w:rsid w:val="009123AA"/>
    <w:rsid w:val="00921A9E"/>
    <w:rsid w:val="00986ACC"/>
    <w:rsid w:val="009B5E08"/>
    <w:rsid w:val="009E38CF"/>
    <w:rsid w:val="00A02CAC"/>
    <w:rsid w:val="00A16F7C"/>
    <w:rsid w:val="00A23EB5"/>
    <w:rsid w:val="00A31796"/>
    <w:rsid w:val="00A679AF"/>
    <w:rsid w:val="00A76912"/>
    <w:rsid w:val="00A87C11"/>
    <w:rsid w:val="00A91021"/>
    <w:rsid w:val="00AF1D00"/>
    <w:rsid w:val="00B140E5"/>
    <w:rsid w:val="00B66AC5"/>
    <w:rsid w:val="00BC4367"/>
    <w:rsid w:val="00BE59F2"/>
    <w:rsid w:val="00BF140B"/>
    <w:rsid w:val="00C20193"/>
    <w:rsid w:val="00C72952"/>
    <w:rsid w:val="00C851BF"/>
    <w:rsid w:val="00C900F4"/>
    <w:rsid w:val="00CD772E"/>
    <w:rsid w:val="00D43636"/>
    <w:rsid w:val="00D51058"/>
    <w:rsid w:val="00D51AA2"/>
    <w:rsid w:val="00D74FEA"/>
    <w:rsid w:val="00D940D2"/>
    <w:rsid w:val="00D94B58"/>
    <w:rsid w:val="00DA346C"/>
    <w:rsid w:val="00DA67FF"/>
    <w:rsid w:val="00DA6B7F"/>
    <w:rsid w:val="00E655BF"/>
    <w:rsid w:val="00E72F23"/>
    <w:rsid w:val="00E749E2"/>
    <w:rsid w:val="00E91AEC"/>
    <w:rsid w:val="00EB0EAC"/>
    <w:rsid w:val="00EC1400"/>
    <w:rsid w:val="00EC7E2A"/>
    <w:rsid w:val="00F01276"/>
    <w:rsid w:val="00F04695"/>
    <w:rsid w:val="00F056F4"/>
    <w:rsid w:val="00F1108E"/>
    <w:rsid w:val="00F438C8"/>
    <w:rsid w:val="00F62ED8"/>
    <w:rsid w:val="00F70800"/>
    <w:rsid w:val="00F747DF"/>
    <w:rsid w:val="00FB14D3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C8"/>
    <w:pPr>
      <w:spacing w:after="0" w:line="240" w:lineRule="auto"/>
    </w:pPr>
  </w:style>
  <w:style w:type="paragraph" w:styleId="a4">
    <w:name w:val="Normal (Web)"/>
    <w:basedOn w:val="a"/>
    <w:unhideWhenUsed/>
    <w:rsid w:val="0007060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96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8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B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B353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rsid w:val="004B3532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C8"/>
    <w:pPr>
      <w:spacing w:after="0" w:line="240" w:lineRule="auto"/>
    </w:pPr>
  </w:style>
  <w:style w:type="paragraph" w:styleId="a4">
    <w:name w:val="Normal (Web)"/>
    <w:basedOn w:val="a"/>
    <w:unhideWhenUsed/>
    <w:rsid w:val="0007060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96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8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B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B353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rsid w:val="004B353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54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0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5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5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9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50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12895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32989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61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91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3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6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0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0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7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072163928511151E-2"/>
          <c:y val="0.23108643470848195"/>
          <c:w val="0.95968806559933884"/>
          <c:h val="0.5161006797227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127864005912786E-3"/>
                  <c:y val="5.69800569800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607538802660754E-2"/>
                  <c:y val="-5.69800569800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528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607538802660754E-2"/>
                  <c:y val="-1.7094017094017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94752402069475E-2"/>
                  <c:y val="-4.558404558404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696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219072"/>
        <c:axId val="155220608"/>
        <c:axId val="0"/>
      </c:bar3DChart>
      <c:catAx>
        <c:axId val="1552190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5220608"/>
        <c:crosses val="autoZero"/>
        <c:auto val="1"/>
        <c:lblAlgn val="ctr"/>
        <c:lblOffset val="100"/>
        <c:noMultiLvlLbl val="0"/>
      </c:catAx>
      <c:valAx>
        <c:axId val="155220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21907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21057574011674263"/>
          <c:y val="5.3830002018978397E-2"/>
          <c:w val="0.51972088854746812"/>
          <c:h val="0.11085716849496377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колективних звернень </c:v>
                </c:pt>
                <c:pt idx="1">
                  <c:v>звернень,що надійшли через вищі органи влади</c:v>
                </c:pt>
                <c:pt idx="2">
                  <c:v>скарг</c:v>
                </c:pt>
                <c:pt idx="3">
                  <c:v>повторних звернень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колективних звернень </c:v>
                </c:pt>
                <c:pt idx="1">
                  <c:v>звернень,що надійшли через вищі органи влади</c:v>
                </c:pt>
                <c:pt idx="2">
                  <c:v>скарг</c:v>
                </c:pt>
                <c:pt idx="3">
                  <c:v>повторних звернень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5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257216"/>
        <c:axId val="209258752"/>
      </c:barChart>
      <c:catAx>
        <c:axId val="20925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258752"/>
        <c:crosses val="autoZero"/>
        <c:auto val="1"/>
        <c:lblAlgn val="ctr"/>
        <c:lblOffset val="100"/>
        <c:noMultiLvlLbl val="0"/>
      </c:catAx>
      <c:valAx>
        <c:axId val="209258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9257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Звернень,які надійшли на Урядову гарячу лінію</c:v>
                </c:pt>
                <c:pt idx="1">
                  <c:v>Петицій</c:v>
                </c:pt>
                <c:pt idx="2">
                  <c:v>Запитів на отримання публічної інформації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52525252525255E-3"/>
                  <c:y val="-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Звернень,які надійшли на Урядову гарячу лінію</c:v>
                </c:pt>
                <c:pt idx="1">
                  <c:v>Петицій</c:v>
                </c:pt>
                <c:pt idx="2">
                  <c:v>Запитів на отримання публічної інформації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304576"/>
        <c:axId val="231527168"/>
      </c:barChart>
      <c:catAx>
        <c:axId val="20930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31527168"/>
        <c:crosses val="autoZero"/>
        <c:auto val="1"/>
        <c:lblAlgn val="ctr"/>
        <c:lblOffset val="100"/>
        <c:noMultiLvlLbl val="0"/>
      </c:catAx>
      <c:valAx>
        <c:axId val="2315271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093045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81691708402887E-2"/>
          <c:y val="5.5555555555555552E-2"/>
          <c:w val="0.78907190023617668"/>
          <c:h val="0.76020966129233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037284362826936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555926544240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212</c:v>
                </c:pt>
                <c:pt idx="1">
                  <c:v>177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2966054535336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58152476349471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330</c:v>
                </c:pt>
                <c:pt idx="1">
                  <c:v>147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8525319977740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5914582046192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442</c:v>
                </c:pt>
                <c:pt idx="1">
                  <c:v>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811904"/>
        <c:axId val="232842368"/>
        <c:axId val="0"/>
      </c:bar3DChart>
      <c:catAx>
        <c:axId val="23281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32842368"/>
        <c:crosses val="autoZero"/>
        <c:auto val="1"/>
        <c:lblAlgn val="ctr"/>
        <c:lblOffset val="100"/>
        <c:noMultiLvlLbl val="0"/>
      </c:catAx>
      <c:valAx>
        <c:axId val="232842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281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85072178477687"/>
          <c:y val="0.38045869266341709"/>
          <c:w val="8.2948220787927379E-2"/>
          <c:h val="0.21527277840269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2018 рік  - 548 громадян</a:t>
            </a:r>
          </a:p>
        </c:rich>
      </c:tx>
      <c:layout>
        <c:manualLayout>
          <c:xMode val="edge"/>
          <c:yMode val="edge"/>
          <c:x val="0.24192439862542955"/>
          <c:y val="4.1677098055050814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489947777146417E-2"/>
          <c:y val="0.14259401881334177"/>
          <c:w val="0.44644965771031198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  - 548 громадян</c:v>
                </c:pt>
              </c:strCache>
            </c:strRef>
          </c:tx>
          <c:dLbls>
            <c:dLbl>
              <c:idx val="0"/>
              <c:layout>
                <c:manualLayout>
                  <c:x val="-0.14662084765177549"/>
                  <c:y val="4.4672185207618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494809282860262"/>
                  <c:y val="-5.19658119658119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Чоловіків</c:v>
                </c:pt>
                <c:pt idx="1">
                  <c:v>Жінок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215</c:v>
                </c:pt>
                <c:pt idx="1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001145475372278"/>
          <c:y val="0.33516294039887351"/>
          <c:w val="0.26118894931947939"/>
          <c:h val="0.24728770442156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2019 рік - 728 громадян</a:t>
            </a:r>
          </a:p>
        </c:rich>
      </c:tx>
      <c:layout>
        <c:manualLayout>
          <c:xMode val="edge"/>
          <c:yMode val="edge"/>
          <c:x val="0.21426900584795322"/>
          <c:y val="3.4188034188034191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908046288028435E-2"/>
          <c:y val="0.13772783876467995"/>
          <c:w val="0.44644965771031198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 - 728 громадян</c:v>
                </c:pt>
              </c:strCache>
            </c:strRef>
          </c:tx>
          <c:dPt>
            <c:idx val="1"/>
            <c:bubble3D val="0"/>
          </c:dPt>
          <c:dLbls>
            <c:dLbl>
              <c:idx val="0"/>
              <c:layout>
                <c:manualLayout>
                  <c:x val="-0.16885849795091404"/>
                  <c:y val="1.7418668820243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689616429525256"/>
                  <c:y val="-3.7493774816609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Чоловіків</c:v>
                </c:pt>
                <c:pt idx="1">
                  <c:v>Жінок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296</c:v>
                </c:pt>
                <c:pt idx="1">
                  <c:v>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626575028636887"/>
          <c:y val="0.32056440025288807"/>
          <c:w val="0.26668766404199473"/>
          <c:h val="0.24728770442156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462962962962962E-2"/>
          <c:y val="4.3650793650793648E-2"/>
          <c:w val="0.72040500145815112"/>
          <c:h val="0.808505499312585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Зверень,які надійшли  до виконкому міської ради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722222222222231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722222222222224E-2"/>
                  <c:y val="-4.3650793650793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77777777777776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666666666666664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358</c:v>
                </c:pt>
                <c:pt idx="1">
                  <c:v>241</c:v>
                </c:pt>
                <c:pt idx="2">
                  <c:v>159</c:v>
                </c:pt>
                <c:pt idx="3">
                  <c:v>243</c:v>
                </c:pt>
                <c:pt idx="4">
                  <c:v>492</c:v>
                </c:pt>
                <c:pt idx="5">
                  <c:v>400</c:v>
                </c:pt>
                <c:pt idx="6">
                  <c:v>528</c:v>
                </c:pt>
                <c:pt idx="7">
                  <c:v>696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Зверень на особистому прийомі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7224044911052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5185185185185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66666666666666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037037037037035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092592592592591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722222222222224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351851851851853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113</c:v>
                </c:pt>
                <c:pt idx="1">
                  <c:v>55</c:v>
                </c:pt>
                <c:pt idx="2">
                  <c:v>58</c:v>
                </c:pt>
                <c:pt idx="3">
                  <c:v>83</c:v>
                </c:pt>
                <c:pt idx="4">
                  <c:v>79</c:v>
                </c:pt>
                <c:pt idx="5">
                  <c:v>74</c:v>
                </c:pt>
                <c:pt idx="6">
                  <c:v>20</c:v>
                </c:pt>
                <c:pt idx="7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074688"/>
        <c:axId val="233076224"/>
      </c:lineChart>
      <c:catAx>
        <c:axId val="23307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076224"/>
        <c:crosses val="autoZero"/>
        <c:auto val="1"/>
        <c:lblAlgn val="ctr"/>
        <c:lblOffset val="100"/>
        <c:noMultiLvlLbl val="0"/>
      </c:catAx>
      <c:valAx>
        <c:axId val="2330762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3307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34944590259565"/>
          <c:y val="0.25727846519185099"/>
          <c:w val="0.22866907261592301"/>
          <c:h val="0.56877640294963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F4B8-9E05-470D-8BB3-4830FB2C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2020-01-11T06:33:00Z</cp:lastPrinted>
  <dcterms:created xsi:type="dcterms:W3CDTF">2020-01-21T11:37:00Z</dcterms:created>
  <dcterms:modified xsi:type="dcterms:W3CDTF">2020-01-21T12:10:00Z</dcterms:modified>
</cp:coreProperties>
</file>