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 wp14:anchorId="676B6DFC" wp14:editId="1F673CF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8" name="Рисунок 8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«20»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02-02/273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D45322">
        <w:rPr>
          <w:szCs w:val="24"/>
          <w:lang w:val="uk-UA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виготовлення пам’ятнику  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загибеллю мешканця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Петрова Євгена Анатолійовича – бійця 17-ї танкової бригади під час проведення АТО,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Виготовити пам’ятник Петрову Євгену Анатолійовичу для вшанування пам’яті. 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послуги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Висоцьку Н. та начальника фінансово-господарського відділу виконкому міської ради Омельченко Я.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Pr="00F0034D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20.11.2019 № 02-02/273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Виготовлення пам’ятнику  – 1 шт.*9840,00 грн. =9840,00 грн.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9840,00 грн.  (дев’ять тисяч вісімсот сорок грн. 00 коп. )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                                                                               Л.КУЛІК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994782" w:rsidRDefault="00994782" w:rsidP="00994782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Я. ОМЕЛЬЧЕНКО</w:t>
      </w: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410A5B"/>
    <w:rsid w:val="006A34F7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2019-12-02T12:41:00Z</dcterms:modified>
</cp:coreProperties>
</file>