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06" w:rsidRPr="00BC0A58" w:rsidRDefault="00F86406" w:rsidP="00F86406">
      <w:pPr>
        <w:widowControl w:val="0"/>
        <w:snapToGrid w:val="0"/>
        <w:ind w:right="141"/>
        <w:jc w:val="right"/>
        <w:rPr>
          <w:b/>
          <w:lang w:val="uk-UA"/>
        </w:rPr>
      </w:pPr>
    </w:p>
    <w:p w:rsidR="00F86406" w:rsidRPr="00BC0A58" w:rsidRDefault="00F86406" w:rsidP="00F86406">
      <w:pPr>
        <w:widowControl w:val="0"/>
        <w:snapToGrid w:val="0"/>
        <w:ind w:right="141"/>
        <w:jc w:val="center"/>
        <w:rPr>
          <w:b/>
          <w:sz w:val="8"/>
          <w:szCs w:val="8"/>
          <w:lang w:val="uk-UA"/>
        </w:rPr>
      </w:pPr>
      <w:r w:rsidRPr="00BC0A58">
        <w:rPr>
          <w:b/>
          <w:sz w:val="8"/>
          <w:szCs w:val="8"/>
          <w:lang w:val="uk-UA"/>
        </w:rPr>
        <w:t xml:space="preserve">  </w:t>
      </w:r>
      <w:r>
        <w:rPr>
          <w:b/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06" w:rsidRPr="00BC0A58" w:rsidRDefault="00F86406" w:rsidP="00F86406">
      <w:pPr>
        <w:widowControl w:val="0"/>
        <w:snapToGrid w:val="0"/>
        <w:ind w:right="141"/>
        <w:jc w:val="center"/>
        <w:rPr>
          <w:sz w:val="19"/>
          <w:szCs w:val="19"/>
          <w:lang w:val="uk-UA"/>
        </w:rPr>
      </w:pPr>
    </w:p>
    <w:p w:rsidR="00F86406" w:rsidRPr="00BC0A58" w:rsidRDefault="00F86406" w:rsidP="00F86406">
      <w:pPr>
        <w:keepNext/>
        <w:ind w:right="141"/>
        <w:jc w:val="center"/>
        <w:outlineLvl w:val="2"/>
        <w:rPr>
          <w:b/>
          <w:bCs/>
          <w:sz w:val="28"/>
          <w:szCs w:val="28"/>
          <w:lang w:val="uk-UA"/>
        </w:rPr>
      </w:pPr>
      <w:r w:rsidRPr="00BC0A58">
        <w:rPr>
          <w:b/>
          <w:bCs/>
          <w:sz w:val="28"/>
          <w:szCs w:val="28"/>
          <w:lang w:val="uk-UA"/>
        </w:rPr>
        <w:t>УКРАЇНА</w:t>
      </w:r>
    </w:p>
    <w:p w:rsidR="00F86406" w:rsidRPr="00BC0A58" w:rsidRDefault="00F86406" w:rsidP="00F86406">
      <w:pPr>
        <w:keepNext/>
        <w:ind w:right="141"/>
        <w:jc w:val="center"/>
        <w:outlineLvl w:val="3"/>
        <w:rPr>
          <w:b/>
          <w:bCs/>
          <w:sz w:val="28"/>
          <w:szCs w:val="28"/>
          <w:lang w:val="uk-UA"/>
        </w:rPr>
      </w:pPr>
      <w:r w:rsidRPr="00BC0A58">
        <w:rPr>
          <w:b/>
          <w:bCs/>
          <w:sz w:val="28"/>
          <w:szCs w:val="28"/>
          <w:lang w:val="uk-UA"/>
        </w:rPr>
        <w:t>ЛУГАНСЬКА  ОБЛАСТЬ</w:t>
      </w:r>
    </w:p>
    <w:p w:rsidR="00F86406" w:rsidRPr="00BC0A58" w:rsidRDefault="00F86406" w:rsidP="00F86406">
      <w:pPr>
        <w:keepNext/>
        <w:ind w:right="141"/>
        <w:jc w:val="center"/>
        <w:outlineLvl w:val="1"/>
        <w:rPr>
          <w:b/>
          <w:bCs/>
          <w:sz w:val="28"/>
          <w:szCs w:val="28"/>
          <w:lang w:val="uk-UA"/>
        </w:rPr>
      </w:pPr>
      <w:r w:rsidRPr="00BC0A58">
        <w:rPr>
          <w:b/>
          <w:bCs/>
          <w:sz w:val="28"/>
          <w:szCs w:val="28"/>
          <w:lang w:val="uk-UA"/>
        </w:rPr>
        <w:t>ПОПАСНЯНСЬКИЙ  РАЙОН</w:t>
      </w:r>
      <w:r w:rsidRPr="00BC0A58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F86406" w:rsidRPr="00BC0A58" w:rsidRDefault="00F86406" w:rsidP="00F86406">
      <w:pPr>
        <w:keepNext/>
        <w:tabs>
          <w:tab w:val="center" w:pos="4860"/>
          <w:tab w:val="right" w:pos="9720"/>
        </w:tabs>
        <w:ind w:right="141"/>
        <w:jc w:val="center"/>
        <w:outlineLvl w:val="3"/>
        <w:rPr>
          <w:b/>
          <w:bCs/>
          <w:sz w:val="28"/>
          <w:szCs w:val="28"/>
          <w:lang w:val="uk-UA"/>
        </w:rPr>
      </w:pPr>
      <w:r w:rsidRPr="00BC0A58">
        <w:rPr>
          <w:b/>
          <w:bCs/>
          <w:sz w:val="28"/>
          <w:szCs w:val="28"/>
          <w:lang w:val="uk-UA"/>
        </w:rPr>
        <w:t xml:space="preserve"> ШОСТОГО   СКЛИКАННЯ</w:t>
      </w:r>
    </w:p>
    <w:p w:rsidR="00F86406" w:rsidRPr="00BC0A58" w:rsidRDefault="00F86406" w:rsidP="00F86406">
      <w:pPr>
        <w:tabs>
          <w:tab w:val="left" w:pos="3600"/>
        </w:tabs>
        <w:ind w:right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C0A58">
        <w:rPr>
          <w:rFonts w:eastAsia="Calibri"/>
          <w:b/>
          <w:sz w:val="28"/>
          <w:szCs w:val="28"/>
          <w:lang w:val="uk-UA" w:eastAsia="en-US"/>
        </w:rPr>
        <w:t>СТО ДВАНАДЦЯТА СЕСІЯ</w:t>
      </w:r>
    </w:p>
    <w:p w:rsidR="00F86406" w:rsidRPr="00BC0A58" w:rsidRDefault="00F86406" w:rsidP="00F86406">
      <w:pPr>
        <w:tabs>
          <w:tab w:val="left" w:pos="3600"/>
        </w:tabs>
        <w:ind w:right="142"/>
        <w:jc w:val="center"/>
        <w:rPr>
          <w:rFonts w:eastAsia="Calibri"/>
          <w:b/>
          <w:sz w:val="8"/>
          <w:szCs w:val="28"/>
          <w:lang w:val="uk-UA" w:eastAsia="en-US"/>
        </w:rPr>
      </w:pPr>
    </w:p>
    <w:p w:rsidR="00F86406" w:rsidRPr="00BC0A58" w:rsidRDefault="00F86406" w:rsidP="00F86406">
      <w:pPr>
        <w:tabs>
          <w:tab w:val="left" w:pos="3600"/>
        </w:tabs>
        <w:ind w:right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C0A58">
        <w:rPr>
          <w:rFonts w:eastAsia="Calibri"/>
          <w:b/>
          <w:sz w:val="28"/>
          <w:szCs w:val="28"/>
          <w:lang w:val="uk-UA" w:eastAsia="en-US"/>
        </w:rPr>
        <w:t>Р</w:t>
      </w:r>
      <w:r w:rsidRPr="00BC0A58">
        <w:rPr>
          <w:rFonts w:eastAsia="Calibri"/>
          <w:b/>
          <w:sz w:val="28"/>
          <w:szCs w:val="28"/>
          <w:lang w:val="en-US" w:eastAsia="en-US"/>
        </w:rPr>
        <w:t>I</w:t>
      </w:r>
      <w:r w:rsidRPr="00BC0A58">
        <w:rPr>
          <w:rFonts w:eastAsia="Calibri"/>
          <w:b/>
          <w:sz w:val="28"/>
          <w:szCs w:val="28"/>
          <w:lang w:val="uk-UA" w:eastAsia="en-US"/>
        </w:rPr>
        <w:t>ШЕННЯ</w:t>
      </w:r>
    </w:p>
    <w:p w:rsidR="00F86406" w:rsidRPr="00BC0A58" w:rsidRDefault="00F86406" w:rsidP="00F86406">
      <w:pPr>
        <w:tabs>
          <w:tab w:val="left" w:pos="3600"/>
        </w:tabs>
        <w:ind w:right="142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86406" w:rsidRPr="00BC0A58" w:rsidRDefault="00F86406" w:rsidP="00F86406">
      <w:pPr>
        <w:tabs>
          <w:tab w:val="left" w:pos="3600"/>
        </w:tabs>
        <w:spacing w:after="200"/>
        <w:ind w:right="141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>20</w:t>
      </w:r>
      <w:r w:rsidRPr="00BC0A58">
        <w:rPr>
          <w:rFonts w:eastAsia="Calibri"/>
          <w:sz w:val="26"/>
          <w:szCs w:val="26"/>
          <w:lang w:val="uk-UA" w:eastAsia="en-US"/>
        </w:rPr>
        <w:t xml:space="preserve"> лютого 2020 р.                               </w:t>
      </w:r>
      <w:r w:rsidRPr="00BC0A58">
        <w:rPr>
          <w:rFonts w:eastAsia="Calibri"/>
          <w:sz w:val="26"/>
          <w:szCs w:val="26"/>
          <w:lang w:eastAsia="en-US"/>
        </w:rPr>
        <w:t xml:space="preserve">м. </w:t>
      </w:r>
      <w:proofErr w:type="spellStart"/>
      <w:r w:rsidRPr="00BC0A58">
        <w:rPr>
          <w:rFonts w:eastAsia="Calibri"/>
          <w:sz w:val="26"/>
          <w:szCs w:val="26"/>
          <w:lang w:eastAsia="en-US"/>
        </w:rPr>
        <w:t>Попасна</w:t>
      </w:r>
      <w:proofErr w:type="spellEnd"/>
      <w:r w:rsidRPr="00BC0A58">
        <w:rPr>
          <w:rFonts w:eastAsia="Calibri"/>
          <w:sz w:val="26"/>
          <w:szCs w:val="26"/>
          <w:lang w:eastAsia="en-US"/>
        </w:rPr>
        <w:tab/>
      </w:r>
      <w:r w:rsidRPr="00BC0A58">
        <w:rPr>
          <w:rFonts w:eastAsia="Calibri"/>
          <w:sz w:val="26"/>
          <w:szCs w:val="26"/>
          <w:lang w:val="uk-UA" w:eastAsia="en-US"/>
        </w:rPr>
        <w:t xml:space="preserve">                                      </w:t>
      </w:r>
      <w:r w:rsidRPr="00BC0A58">
        <w:rPr>
          <w:rFonts w:eastAsia="Calibri"/>
          <w:sz w:val="26"/>
          <w:szCs w:val="26"/>
          <w:lang w:eastAsia="en-US"/>
        </w:rPr>
        <w:t>№</w:t>
      </w:r>
      <w:r w:rsidRPr="00BC0A58">
        <w:rPr>
          <w:rFonts w:eastAsia="Calibri"/>
          <w:sz w:val="26"/>
          <w:szCs w:val="26"/>
          <w:lang w:val="uk-UA" w:eastAsia="en-US"/>
        </w:rPr>
        <w:t xml:space="preserve"> 112/</w:t>
      </w:r>
      <w:r>
        <w:rPr>
          <w:rFonts w:eastAsia="Calibri"/>
          <w:sz w:val="26"/>
          <w:szCs w:val="26"/>
          <w:lang w:val="uk-UA" w:eastAsia="en-US"/>
        </w:rPr>
        <w:t>5</w:t>
      </w:r>
    </w:p>
    <w:p w:rsidR="00F86406" w:rsidRDefault="00F86406" w:rsidP="00F86406">
      <w:pPr>
        <w:ind w:firstLine="708"/>
        <w:jc w:val="both"/>
        <w:rPr>
          <w:color w:val="252525"/>
          <w:sz w:val="28"/>
          <w:szCs w:val="28"/>
          <w:lang w:val="uk-UA"/>
        </w:rPr>
      </w:pPr>
    </w:p>
    <w:p w:rsidR="00F86406" w:rsidRPr="00B72A1C" w:rsidRDefault="00F86406" w:rsidP="00F86406">
      <w:pPr>
        <w:rPr>
          <w:b/>
          <w:sz w:val="28"/>
          <w:szCs w:val="28"/>
          <w:lang w:val="uk-UA"/>
        </w:rPr>
      </w:pPr>
      <w:r w:rsidRPr="00B72A1C">
        <w:rPr>
          <w:b/>
          <w:sz w:val="28"/>
          <w:szCs w:val="28"/>
          <w:lang w:val="uk-UA"/>
        </w:rPr>
        <w:t xml:space="preserve">Про приєднання до </w:t>
      </w:r>
    </w:p>
    <w:p w:rsidR="00F86406" w:rsidRPr="00B72A1C" w:rsidRDefault="00F86406" w:rsidP="00F86406">
      <w:pPr>
        <w:rPr>
          <w:b/>
          <w:sz w:val="28"/>
          <w:szCs w:val="28"/>
          <w:lang w:val="uk-UA"/>
        </w:rPr>
      </w:pPr>
      <w:r w:rsidRPr="00B72A1C">
        <w:rPr>
          <w:b/>
          <w:sz w:val="28"/>
          <w:szCs w:val="28"/>
          <w:lang w:val="uk-UA"/>
        </w:rPr>
        <w:t>європейської ініціативи</w:t>
      </w:r>
    </w:p>
    <w:p w:rsidR="00F86406" w:rsidRPr="00B72A1C" w:rsidRDefault="00F86406" w:rsidP="00F86406">
      <w:pPr>
        <w:rPr>
          <w:b/>
          <w:sz w:val="28"/>
          <w:szCs w:val="28"/>
          <w:lang w:val="uk-UA"/>
        </w:rPr>
      </w:pPr>
      <w:r w:rsidRPr="00B72A1C">
        <w:rPr>
          <w:b/>
          <w:sz w:val="28"/>
          <w:szCs w:val="28"/>
          <w:lang w:val="uk-UA"/>
        </w:rPr>
        <w:t>«Угода Мерів»</w:t>
      </w:r>
    </w:p>
    <w:p w:rsidR="00F86406" w:rsidRPr="00CC7D09" w:rsidRDefault="00F86406" w:rsidP="00F86406">
      <w:pPr>
        <w:ind w:firstLine="708"/>
        <w:jc w:val="both"/>
        <w:rPr>
          <w:color w:val="252525"/>
          <w:sz w:val="28"/>
          <w:szCs w:val="28"/>
          <w:lang w:val="uk-UA"/>
        </w:rPr>
      </w:pPr>
      <w:r w:rsidRPr="000137CB">
        <w:rPr>
          <w:color w:val="252525"/>
          <w:sz w:val="28"/>
          <w:szCs w:val="28"/>
          <w:lang w:val="uk-UA"/>
        </w:rPr>
        <w:t> </w:t>
      </w:r>
    </w:p>
    <w:p w:rsidR="00F86406" w:rsidRPr="002E10B2" w:rsidRDefault="00F86406" w:rsidP="00F86406">
      <w:pPr>
        <w:jc w:val="both"/>
        <w:rPr>
          <w:sz w:val="28"/>
          <w:szCs w:val="28"/>
          <w:lang w:val="uk-UA"/>
        </w:rPr>
      </w:pPr>
      <w:r w:rsidRPr="002E10B2">
        <w:rPr>
          <w:sz w:val="28"/>
          <w:szCs w:val="28"/>
          <w:lang w:val="uk-UA"/>
        </w:rPr>
        <w:t xml:space="preserve">   Розглянувши подання </w:t>
      </w:r>
      <w:proofErr w:type="spellStart"/>
      <w:r w:rsidRPr="002E10B2">
        <w:rPr>
          <w:sz w:val="28"/>
          <w:szCs w:val="28"/>
          <w:lang w:val="uk-UA"/>
        </w:rPr>
        <w:t>Попаснянського</w:t>
      </w:r>
      <w:proofErr w:type="spellEnd"/>
      <w:r w:rsidRPr="002E10B2">
        <w:rPr>
          <w:sz w:val="28"/>
          <w:szCs w:val="28"/>
          <w:lang w:val="uk-UA"/>
        </w:rPr>
        <w:t xml:space="preserve"> міського голови Онищенка Ю.І., з метою забезпечення сталого розвитку територіальної громади міста </w:t>
      </w:r>
      <w:proofErr w:type="spellStart"/>
      <w:r w:rsidRPr="002E10B2"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,</w:t>
      </w:r>
      <w:r w:rsidRPr="002E10B2">
        <w:rPr>
          <w:sz w:val="28"/>
          <w:szCs w:val="28"/>
          <w:lang w:val="uk-UA"/>
        </w:rPr>
        <w:t xml:space="preserve"> відповідно до ст. 25, ст. 73 Закону України «Про місцеве самоврядування в Україні»,  Попаснянська міська рада</w:t>
      </w:r>
      <w:r w:rsidRPr="002E10B2">
        <w:rPr>
          <w:b/>
          <w:bCs/>
          <w:sz w:val="28"/>
          <w:szCs w:val="28"/>
          <w:lang w:val="uk-UA"/>
        </w:rPr>
        <w:t xml:space="preserve">                       </w:t>
      </w:r>
    </w:p>
    <w:p w:rsidR="00F86406" w:rsidRPr="00CC7D09" w:rsidRDefault="00F86406" w:rsidP="00F86406">
      <w:pPr>
        <w:ind w:firstLine="840"/>
        <w:jc w:val="both"/>
        <w:rPr>
          <w:color w:val="252525"/>
          <w:sz w:val="28"/>
          <w:szCs w:val="28"/>
          <w:lang w:val="uk-UA"/>
        </w:rPr>
      </w:pPr>
      <w:r w:rsidRPr="000137CB">
        <w:rPr>
          <w:b/>
          <w:bCs/>
          <w:color w:val="252525"/>
          <w:sz w:val="28"/>
          <w:szCs w:val="28"/>
          <w:lang w:val="uk-UA"/>
        </w:rPr>
        <w:t> </w:t>
      </w:r>
    </w:p>
    <w:p w:rsidR="00F86406" w:rsidRPr="002E10B2" w:rsidRDefault="00F86406" w:rsidP="00F86406">
      <w:pPr>
        <w:ind w:firstLine="840"/>
        <w:jc w:val="both"/>
        <w:rPr>
          <w:sz w:val="28"/>
          <w:szCs w:val="28"/>
          <w:lang w:val="uk-UA"/>
        </w:rPr>
      </w:pPr>
      <w:r w:rsidRPr="002E10B2">
        <w:rPr>
          <w:b/>
          <w:bCs/>
          <w:sz w:val="28"/>
          <w:szCs w:val="28"/>
          <w:lang w:val="uk-UA"/>
        </w:rPr>
        <w:t>ВИРІШИЛА:</w:t>
      </w:r>
    </w:p>
    <w:p w:rsidR="00F86406" w:rsidRDefault="00F86406" w:rsidP="00F86406">
      <w:pPr>
        <w:rPr>
          <w:sz w:val="28"/>
          <w:szCs w:val="28"/>
          <w:lang w:val="uk-UA"/>
        </w:rPr>
      </w:pPr>
    </w:p>
    <w:p w:rsidR="00F86406" w:rsidRDefault="00F86406" w:rsidP="00F8640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європейську ініціативу «Угода мерів» (</w:t>
      </w:r>
      <w:r>
        <w:rPr>
          <w:sz w:val="28"/>
          <w:szCs w:val="28"/>
          <w:lang w:val="en-US"/>
        </w:rPr>
        <w:t>Covenant</w:t>
      </w:r>
      <w:r w:rsidRPr="0052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 w:rsidRPr="0052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Mayors</w:t>
      </w:r>
      <w:r w:rsidRPr="0052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</w:t>
      </w:r>
      <w:r w:rsidRPr="0052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Climate</w:t>
      </w:r>
      <w:r w:rsidRPr="0052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and</w:t>
      </w:r>
      <w:r w:rsidRPr="00523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Energy</w:t>
      </w:r>
      <w:r w:rsidRPr="005D397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86406" w:rsidRDefault="00F86406" w:rsidP="00F86406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6406" w:rsidRDefault="00F86406" w:rsidP="00F8640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Приєднатися до європейської ініціативи «Угода мерів» та взяти на себе зобов’язання скоротити на своїй території викиди СО</w:t>
      </w:r>
      <w:r w:rsidRPr="005D3970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(та, за можливості, інших парникових газів) щонайменше на 30% до 2030 року за рахунок заходів з підвищення енергоефективності  та використання відновлювальних джерел енергії, а також підвищувати стійкість за рахунок адаптації до наслідків зміни клімату.</w:t>
      </w:r>
    </w:p>
    <w:p w:rsidR="00F86406" w:rsidRDefault="00F86406" w:rsidP="00F86406">
      <w:pPr>
        <w:pStyle w:val="a3"/>
        <w:rPr>
          <w:sz w:val="28"/>
          <w:szCs w:val="28"/>
          <w:lang w:val="uk-UA"/>
        </w:rPr>
      </w:pPr>
    </w:p>
    <w:p w:rsidR="00F86406" w:rsidRDefault="00F86406" w:rsidP="00F8640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міського голову Онищенка Юрія Івановича від імені територіальної громади міста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 підписати угоду за формою приєднання.</w:t>
      </w:r>
    </w:p>
    <w:p w:rsidR="00F86406" w:rsidRDefault="00F86406" w:rsidP="00F86406">
      <w:pPr>
        <w:pStyle w:val="a3"/>
        <w:rPr>
          <w:sz w:val="28"/>
          <w:szCs w:val="28"/>
          <w:lang w:val="uk-UA"/>
        </w:rPr>
      </w:pPr>
    </w:p>
    <w:p w:rsidR="00F86406" w:rsidRDefault="00F86406" w:rsidP="00F8640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з питань законності, регламенту, депутатської діяльності, етики, освіти, культури, спорту, соціальної політики та охорони здоров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я.</w:t>
      </w:r>
    </w:p>
    <w:p w:rsidR="00F86406" w:rsidRPr="000137CB" w:rsidRDefault="00F86406" w:rsidP="00F86406">
      <w:pPr>
        <w:rPr>
          <w:sz w:val="28"/>
          <w:szCs w:val="28"/>
          <w:lang w:val="uk-UA"/>
        </w:rPr>
      </w:pPr>
    </w:p>
    <w:p w:rsidR="00F86406" w:rsidRDefault="00F86406" w:rsidP="00F86406">
      <w:pPr>
        <w:rPr>
          <w:sz w:val="28"/>
          <w:szCs w:val="28"/>
          <w:lang w:val="uk-UA"/>
        </w:rPr>
      </w:pPr>
      <w:r w:rsidRPr="000137CB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0137CB">
        <w:rPr>
          <w:sz w:val="28"/>
          <w:szCs w:val="28"/>
          <w:lang w:val="uk-UA"/>
        </w:rPr>
        <w:t xml:space="preserve">  </w:t>
      </w:r>
      <w:proofErr w:type="spellStart"/>
      <w:r w:rsidRPr="000137CB">
        <w:rPr>
          <w:sz w:val="28"/>
          <w:szCs w:val="28"/>
          <w:lang w:val="uk-UA"/>
        </w:rPr>
        <w:t>Ю.І.Онищенко</w:t>
      </w:r>
      <w:proofErr w:type="spellEnd"/>
    </w:p>
    <w:p w:rsidR="00F86406" w:rsidRDefault="00F86406" w:rsidP="00F86406">
      <w:pPr>
        <w:rPr>
          <w:lang w:val="uk-UA"/>
        </w:rPr>
      </w:pPr>
      <w:r>
        <w:rPr>
          <w:lang w:val="uk-UA"/>
        </w:rPr>
        <w:t xml:space="preserve"> </w:t>
      </w:r>
    </w:p>
    <w:p w:rsidR="00F86406" w:rsidRDefault="00F86406" w:rsidP="00F86406">
      <w:pPr>
        <w:ind w:left="5103"/>
        <w:rPr>
          <w:sz w:val="28"/>
          <w:szCs w:val="28"/>
          <w:lang w:val="uk-UA"/>
        </w:rPr>
      </w:pPr>
    </w:p>
    <w:p w:rsidR="00F86406" w:rsidRDefault="00F86406" w:rsidP="00F8640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СЕСІЇ ПОПАСНЯНСЬКОЇ</w:t>
      </w:r>
    </w:p>
    <w:p w:rsidR="00F86406" w:rsidRDefault="00F86406" w:rsidP="00F8640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F86406" w:rsidRDefault="00F86406" w:rsidP="00F86406">
      <w:pPr>
        <w:rPr>
          <w:sz w:val="28"/>
          <w:szCs w:val="28"/>
          <w:lang w:val="uk-UA"/>
        </w:rPr>
      </w:pPr>
    </w:p>
    <w:p w:rsidR="00F86406" w:rsidRDefault="00F86406" w:rsidP="00F86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</w:t>
      </w:r>
    </w:p>
    <w:p w:rsidR="00F86406" w:rsidRDefault="00F86406" w:rsidP="00F86406">
      <w:pPr>
        <w:jc w:val="center"/>
        <w:rPr>
          <w:sz w:val="28"/>
          <w:szCs w:val="28"/>
          <w:lang w:val="uk-UA"/>
        </w:rPr>
      </w:pPr>
    </w:p>
    <w:p w:rsidR="00F86406" w:rsidRDefault="00F86406" w:rsidP="00F86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метою можливості скористатися різними механізмами технічної та фінансової підтримки Європейської Комісії (яка заснувала та фінансує Офіс Угоди Мерів)  для забезпечення екологічного, соціального та економічно-стабільного середовища для територіальної громади міста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, створення потенціалу всередині громади для вирішення важливих економічних, енергетичних та кліматичних проблем в інтересах мешканців, створення та зміцнення динаміки зусиль, спрямованих на «зелене» економічне зростання та підвищення якості життя, користування перевагами інституційного схвалення та підтримки ЄС, здійснення внеску у зменшення викидів СО</w:t>
      </w:r>
      <w:r w:rsidRPr="00766341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uk-UA"/>
        </w:rPr>
        <w:t xml:space="preserve">  </w:t>
      </w:r>
      <w:r>
        <w:rPr>
          <w:sz w:val="28"/>
          <w:szCs w:val="28"/>
          <w:lang w:val="uk-UA"/>
        </w:rPr>
        <w:t>у світі, міська рада прийняла участь  та отримала перемогу в конкурсі на розробку та написання Планів дій сталого енергетичного розвитку та клімату (</w:t>
      </w:r>
      <w:r>
        <w:rPr>
          <w:sz w:val="28"/>
          <w:szCs w:val="28"/>
          <w:lang w:val="en-US"/>
        </w:rPr>
        <w:t>SECAP</w:t>
      </w:r>
      <w:r w:rsidRPr="002F5C6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для малих та середніх громад  в рамках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«Організація співпраці малих міст України, громадського суспільства та експертного середовища у питаннях енергобезпеки» . </w:t>
      </w:r>
    </w:p>
    <w:p w:rsidR="00F86406" w:rsidRDefault="00F86406" w:rsidP="00F86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ПЛАН ДІЙ ЗІ СТАЛОГО ЕНЕРГЕТИЧНОГО РОЗВИТКУ ТА КЛІМАТУ МІСТА ПОПАСНА НА ПЕРІОД ДО 2030 РОКУ  (далі ПЛАН) загальною вартістю 88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 розроблено ТОВ «</w:t>
      </w:r>
      <w:proofErr w:type="spellStart"/>
      <w:r>
        <w:rPr>
          <w:sz w:val="28"/>
          <w:szCs w:val="28"/>
          <w:lang w:val="uk-UA"/>
        </w:rPr>
        <w:t>Баукрафт</w:t>
      </w:r>
      <w:proofErr w:type="spellEnd"/>
      <w:r>
        <w:rPr>
          <w:sz w:val="28"/>
          <w:szCs w:val="28"/>
          <w:lang w:val="uk-UA"/>
        </w:rPr>
        <w:t xml:space="preserve">» за кошти Фонду «Регіональний центр економічних досліджень та підтримки бізнесу» (44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 та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з міського бюджету (44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.). Наявність затвердженого сесією міської ради ПЛАНУ  дозволяє претендувати   на підписання Європейської Угоди мерів щодо Клімату і Енергії, яка передбачає: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бачення Мерів громад Європи стійкого майбутнього незалежно від розмірів громади та її розташування на карті миру, яке стимулює загальні дії по вирішенню взаємопов’язаних проблем: пом’якшення наслідків змін клімату, адаптації і стійкої енергетики;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готовність спільно здійснювати  конкретні довгострокові кроки, які забезпечать екологічно, соціально і економічно стійке середовище для нинішніх і майбутніх поколінь;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обов’язок - створити більш стійкі, привабливі, прийнятні для життя, життєстійкі і енергоефективні території.</w:t>
      </w:r>
    </w:p>
    <w:p w:rsidR="00F86406" w:rsidRDefault="00F86406" w:rsidP="00F86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Завдяки нашої участі в Європейській ініціативі - «Угоді мерів щодо Клімату і Енергії», територіальна громада міста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 може  претендувати на фінансування партнерських  проектів сталого розвитку, направлених на поліпшення екологічної ситуації, зокрема в галузях: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енергобезпеки, зменшення витрат енергоносіїв;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довкілля, благоустрою територій;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енергозбереження на об’єктах комунальної власності;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модернізації технологій у житлово-комунальному господарстві та використання альтер</w:t>
      </w:r>
      <w:bookmarkStart w:id="0" w:name="_GoBack"/>
      <w:bookmarkEnd w:id="0"/>
      <w:r>
        <w:rPr>
          <w:sz w:val="28"/>
          <w:szCs w:val="28"/>
          <w:lang w:val="uk-UA"/>
        </w:rPr>
        <w:t>нативних джерел енергії;</w:t>
      </w:r>
    </w:p>
    <w:p w:rsidR="00F86406" w:rsidRDefault="00F86406" w:rsidP="00F86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партнерства «громада-бізнес-влада» і </w:t>
      </w:r>
      <w:proofErr w:type="spellStart"/>
      <w:r>
        <w:rPr>
          <w:sz w:val="28"/>
          <w:szCs w:val="28"/>
          <w:lang w:val="uk-UA"/>
        </w:rPr>
        <w:t>т.і</w:t>
      </w:r>
      <w:proofErr w:type="spellEnd"/>
      <w:r>
        <w:rPr>
          <w:sz w:val="28"/>
          <w:szCs w:val="28"/>
          <w:lang w:val="uk-UA"/>
        </w:rPr>
        <w:t>.</w:t>
      </w:r>
    </w:p>
    <w:p w:rsidR="00F86406" w:rsidRDefault="00F86406" w:rsidP="00F86406">
      <w:pPr>
        <w:rPr>
          <w:sz w:val="28"/>
          <w:szCs w:val="28"/>
          <w:lang w:val="uk-UA"/>
        </w:rPr>
      </w:pPr>
    </w:p>
    <w:p w:rsidR="00F86406" w:rsidRDefault="00F86406" w:rsidP="00F86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Ю.І. Онищенко</w:t>
      </w:r>
    </w:p>
    <w:p w:rsidR="00A86058" w:rsidRDefault="00A86058"/>
    <w:sectPr w:rsidR="00A86058" w:rsidSect="00F864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2951"/>
    <w:multiLevelType w:val="hybridMultilevel"/>
    <w:tmpl w:val="1EF60BBE"/>
    <w:lvl w:ilvl="0" w:tplc="02BE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4627"/>
    <w:multiLevelType w:val="hybridMultilevel"/>
    <w:tmpl w:val="361E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9F"/>
    <w:rsid w:val="00203C9F"/>
    <w:rsid w:val="00A86058"/>
    <w:rsid w:val="00F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4791-14AC-4D61-8863-C92D3E8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2020-04-06T08:04:00Z</dcterms:created>
  <dcterms:modified xsi:type="dcterms:W3CDTF">2020-04-06T08:04:00Z</dcterms:modified>
</cp:coreProperties>
</file>