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50E" w:rsidRPr="00D450AE" w:rsidRDefault="009F650E" w:rsidP="00E147BB">
      <w:pPr>
        <w:ind w:left="6521"/>
        <w:rPr>
          <w:sz w:val="24"/>
          <w:szCs w:val="24"/>
        </w:rPr>
      </w:pPr>
      <w:r w:rsidRPr="00D450AE">
        <w:rPr>
          <w:sz w:val="24"/>
          <w:szCs w:val="24"/>
        </w:rPr>
        <w:t xml:space="preserve">Додаток                                                               </w:t>
      </w:r>
      <w:r w:rsidR="00C36283">
        <w:rPr>
          <w:sz w:val="24"/>
          <w:szCs w:val="24"/>
        </w:rPr>
        <w:t xml:space="preserve">                     до рішення</w:t>
      </w:r>
      <w:r w:rsidRPr="00D450AE">
        <w:rPr>
          <w:sz w:val="24"/>
          <w:szCs w:val="24"/>
        </w:rPr>
        <w:t xml:space="preserve"> </w:t>
      </w:r>
      <w:r w:rsidR="00E147BB">
        <w:rPr>
          <w:sz w:val="24"/>
          <w:szCs w:val="24"/>
        </w:rPr>
        <w:t>міської ради</w:t>
      </w:r>
      <w:r w:rsidRPr="00D450AE">
        <w:rPr>
          <w:sz w:val="24"/>
          <w:szCs w:val="24"/>
        </w:rPr>
        <w:t xml:space="preserve">                                                                                                         </w:t>
      </w:r>
      <w:r w:rsidR="006B4691">
        <w:rPr>
          <w:sz w:val="24"/>
          <w:szCs w:val="24"/>
        </w:rPr>
        <w:t>від</w:t>
      </w:r>
      <w:r w:rsidR="00E147BB">
        <w:rPr>
          <w:sz w:val="24"/>
          <w:szCs w:val="24"/>
        </w:rPr>
        <w:t xml:space="preserve"> </w:t>
      </w:r>
      <w:r w:rsidR="004460ED">
        <w:rPr>
          <w:sz w:val="24"/>
          <w:szCs w:val="24"/>
        </w:rPr>
        <w:t>24.05.</w:t>
      </w:r>
      <w:r w:rsidR="00E147BB">
        <w:rPr>
          <w:sz w:val="24"/>
          <w:szCs w:val="24"/>
        </w:rPr>
        <w:t xml:space="preserve">2019 </w:t>
      </w:r>
      <w:r w:rsidR="000E505B">
        <w:rPr>
          <w:sz w:val="24"/>
          <w:szCs w:val="24"/>
        </w:rPr>
        <w:t xml:space="preserve"> </w:t>
      </w:r>
      <w:r w:rsidR="00E147BB">
        <w:rPr>
          <w:sz w:val="24"/>
          <w:szCs w:val="24"/>
        </w:rPr>
        <w:t xml:space="preserve"> № </w:t>
      </w:r>
      <w:r w:rsidR="004460ED">
        <w:rPr>
          <w:sz w:val="24"/>
          <w:szCs w:val="24"/>
        </w:rPr>
        <w:t>105/11</w:t>
      </w:r>
      <w:bookmarkStart w:id="0" w:name="_GoBack"/>
      <w:bookmarkEnd w:id="0"/>
    </w:p>
    <w:p w:rsidR="00261EE4" w:rsidRDefault="00261EE4" w:rsidP="00FE6A59">
      <w:pPr>
        <w:ind w:left="3969" w:firstLine="288"/>
        <w:rPr>
          <w:sz w:val="24"/>
          <w:szCs w:val="24"/>
        </w:rPr>
      </w:pPr>
    </w:p>
    <w:p w:rsidR="00E40BDA" w:rsidRPr="00D450AE" w:rsidRDefault="00E40BDA" w:rsidP="0041696B">
      <w:pPr>
        <w:ind w:left="6300"/>
        <w:rPr>
          <w:sz w:val="24"/>
          <w:szCs w:val="24"/>
        </w:rPr>
      </w:pPr>
    </w:p>
    <w:p w:rsidR="00843606" w:rsidRPr="00E147BB" w:rsidRDefault="00612B95" w:rsidP="00612B95">
      <w:pPr>
        <w:jc w:val="center"/>
        <w:rPr>
          <w:b/>
          <w:sz w:val="24"/>
          <w:szCs w:val="24"/>
        </w:rPr>
      </w:pPr>
      <w:r>
        <w:rPr>
          <w:b/>
          <w:sz w:val="24"/>
          <w:szCs w:val="24"/>
        </w:rPr>
        <w:t>П</w:t>
      </w:r>
      <w:r w:rsidR="00843606" w:rsidRPr="00E147BB">
        <w:rPr>
          <w:b/>
          <w:sz w:val="24"/>
          <w:szCs w:val="24"/>
        </w:rPr>
        <w:t>ОРЯДОК</w:t>
      </w:r>
    </w:p>
    <w:p w:rsidR="00843606" w:rsidRPr="00E147BB" w:rsidRDefault="00A121E8" w:rsidP="00612B95">
      <w:pPr>
        <w:jc w:val="center"/>
        <w:rPr>
          <w:b/>
          <w:sz w:val="24"/>
          <w:szCs w:val="24"/>
        </w:rPr>
      </w:pPr>
      <w:r>
        <w:rPr>
          <w:b/>
          <w:sz w:val="24"/>
          <w:szCs w:val="24"/>
        </w:rPr>
        <w:t xml:space="preserve">обліку, зберігання та </w:t>
      </w:r>
      <w:r w:rsidR="00843606" w:rsidRPr="00E147BB">
        <w:rPr>
          <w:b/>
          <w:sz w:val="24"/>
          <w:szCs w:val="24"/>
        </w:rPr>
        <w:t xml:space="preserve">доступу </w:t>
      </w:r>
      <w:r>
        <w:rPr>
          <w:b/>
          <w:sz w:val="24"/>
          <w:szCs w:val="24"/>
        </w:rPr>
        <w:t xml:space="preserve">до інвентаризаційних справ, матеріалів технічної інвентаризації нерухомого майна, </w:t>
      </w:r>
      <w:r w:rsidR="00843606" w:rsidRPr="00E147BB">
        <w:rPr>
          <w:b/>
          <w:sz w:val="24"/>
          <w:szCs w:val="24"/>
        </w:rPr>
        <w:t xml:space="preserve">реєстрових книг та архівних справ </w:t>
      </w:r>
      <w:r w:rsidR="00612B95">
        <w:rPr>
          <w:b/>
          <w:sz w:val="24"/>
          <w:szCs w:val="24"/>
        </w:rPr>
        <w:t>на території Попаснянської міської ради</w:t>
      </w:r>
    </w:p>
    <w:p w:rsidR="00843606" w:rsidRPr="00843606" w:rsidRDefault="00843606" w:rsidP="00843606">
      <w:pPr>
        <w:ind w:firstLine="708"/>
        <w:jc w:val="both"/>
        <w:rPr>
          <w:sz w:val="24"/>
          <w:szCs w:val="24"/>
        </w:rPr>
      </w:pPr>
      <w:r w:rsidRPr="00843606">
        <w:rPr>
          <w:sz w:val="24"/>
          <w:szCs w:val="24"/>
        </w:rPr>
        <w:t xml:space="preserve"> </w:t>
      </w:r>
    </w:p>
    <w:p w:rsidR="00843606" w:rsidRPr="005B2DE0" w:rsidRDefault="00843606" w:rsidP="00612B95">
      <w:pPr>
        <w:jc w:val="center"/>
        <w:rPr>
          <w:b/>
          <w:sz w:val="24"/>
          <w:szCs w:val="24"/>
        </w:rPr>
      </w:pPr>
      <w:r w:rsidRPr="005B2DE0">
        <w:rPr>
          <w:b/>
          <w:sz w:val="24"/>
          <w:szCs w:val="24"/>
        </w:rPr>
        <w:t>1. Загальні положення</w:t>
      </w:r>
    </w:p>
    <w:p w:rsidR="00843606" w:rsidRPr="00843606" w:rsidRDefault="00843606" w:rsidP="00843606">
      <w:pPr>
        <w:ind w:firstLine="708"/>
        <w:jc w:val="both"/>
        <w:rPr>
          <w:sz w:val="24"/>
          <w:szCs w:val="24"/>
        </w:rPr>
      </w:pPr>
      <w:r w:rsidRPr="00843606">
        <w:rPr>
          <w:sz w:val="24"/>
          <w:szCs w:val="24"/>
        </w:rPr>
        <w:t xml:space="preserve"> </w:t>
      </w:r>
    </w:p>
    <w:p w:rsidR="00843606" w:rsidRPr="00843606" w:rsidRDefault="00843606" w:rsidP="00190C0A">
      <w:pPr>
        <w:ind w:firstLine="567"/>
        <w:jc w:val="both"/>
        <w:rPr>
          <w:sz w:val="24"/>
          <w:szCs w:val="24"/>
        </w:rPr>
      </w:pPr>
      <w:r w:rsidRPr="00843606">
        <w:rPr>
          <w:sz w:val="24"/>
          <w:szCs w:val="24"/>
        </w:rPr>
        <w:t xml:space="preserve">1.1. </w:t>
      </w:r>
      <w:r w:rsidR="00612B95">
        <w:rPr>
          <w:sz w:val="24"/>
          <w:szCs w:val="24"/>
        </w:rPr>
        <w:t xml:space="preserve">Порядок обліку, зберігання та доступу до інвентаризаційних справ, матеріалів технічної інвентаризації нерухомого майна, реєстрових книг та архівних справ на території Попаснянської міської ради </w:t>
      </w:r>
      <w:r w:rsidRPr="00843606">
        <w:rPr>
          <w:sz w:val="24"/>
          <w:szCs w:val="24"/>
        </w:rPr>
        <w:t xml:space="preserve">(далі – Порядок) розроблено відповідно до Конституції України, </w:t>
      </w:r>
      <w:r w:rsidR="00E67F39">
        <w:rPr>
          <w:sz w:val="24"/>
          <w:szCs w:val="24"/>
        </w:rPr>
        <w:t xml:space="preserve">Законів України </w:t>
      </w:r>
      <w:r w:rsidRPr="00843606">
        <w:rPr>
          <w:sz w:val="24"/>
          <w:szCs w:val="24"/>
        </w:rPr>
        <w:t>«Про доступ до публічної інформації», «Про інформацію», «Про звернення громадян», «Про захист персональних даних», Інструкції про порядок  проведення технічної інвентаризації об’єктів нерухомого майна, затвердженої наказом Державного комітету архітектури та житлової політики України від 24 травня 2001 року № 127</w:t>
      </w:r>
      <w:r w:rsidR="00612B95">
        <w:rPr>
          <w:sz w:val="24"/>
          <w:szCs w:val="24"/>
        </w:rPr>
        <w:t xml:space="preserve"> (в редакції Наказу Міністерства регіонального розвитку, будівництва та житлово-комунального господарства України від 26.07.2018 № 186),</w:t>
      </w:r>
      <w:r w:rsidRPr="00843606">
        <w:rPr>
          <w:sz w:val="24"/>
          <w:szCs w:val="24"/>
        </w:rPr>
        <w:t xml:space="preserve"> розпорядження Кабінету Міністрів України від 04 лютого 2013 року № 47-р «Деякі питання належного функціонування  системи органів державної реєстрації речових прав на нерухоме майно» та інших нормативно-правових актів України. </w:t>
      </w:r>
    </w:p>
    <w:p w:rsidR="00843606" w:rsidRPr="00843606" w:rsidRDefault="00843606" w:rsidP="00190C0A">
      <w:pPr>
        <w:ind w:firstLine="567"/>
        <w:jc w:val="both"/>
        <w:rPr>
          <w:sz w:val="24"/>
          <w:szCs w:val="24"/>
        </w:rPr>
      </w:pPr>
      <w:r w:rsidRPr="00843606">
        <w:rPr>
          <w:sz w:val="24"/>
          <w:szCs w:val="24"/>
        </w:rPr>
        <w:t xml:space="preserve">1.2. Порядок визначає умови, підстави та процедуру обліку, зберігання, порядок доступу до матеріалів технічної інвентаризації, реєстрових книг та архівних справ на об’єкти нерухомого майна державних реєстраторів речових прав на нерухоме майно, юридичних та фізичних осіб. </w:t>
      </w:r>
    </w:p>
    <w:p w:rsidR="00843606" w:rsidRPr="00843606" w:rsidRDefault="00843606" w:rsidP="00190C0A">
      <w:pPr>
        <w:ind w:firstLine="567"/>
        <w:jc w:val="both"/>
        <w:rPr>
          <w:sz w:val="24"/>
          <w:szCs w:val="24"/>
        </w:rPr>
      </w:pPr>
      <w:r w:rsidRPr="00843606">
        <w:rPr>
          <w:sz w:val="24"/>
          <w:szCs w:val="24"/>
        </w:rPr>
        <w:t>1.3. У Порядку поняття вживаються у такому значенні:</w:t>
      </w:r>
    </w:p>
    <w:p w:rsidR="00843606" w:rsidRDefault="00843606" w:rsidP="00843606">
      <w:pPr>
        <w:ind w:firstLine="708"/>
        <w:jc w:val="both"/>
        <w:rPr>
          <w:sz w:val="24"/>
          <w:szCs w:val="24"/>
        </w:rPr>
      </w:pPr>
      <w:r w:rsidRPr="00843606">
        <w:rPr>
          <w:sz w:val="24"/>
          <w:szCs w:val="24"/>
        </w:rPr>
        <w:t xml:space="preserve">- заявник – власник, інший </w:t>
      </w:r>
      <w:proofErr w:type="spellStart"/>
      <w:r w:rsidRPr="00843606">
        <w:rPr>
          <w:sz w:val="24"/>
          <w:szCs w:val="24"/>
        </w:rPr>
        <w:t>правонабувач</w:t>
      </w:r>
      <w:proofErr w:type="spellEnd"/>
      <w:r w:rsidRPr="00843606">
        <w:rPr>
          <w:sz w:val="24"/>
          <w:szCs w:val="24"/>
        </w:rPr>
        <w:t>, сторона правочину, у якого виникло речове право, іпотекодержатель або уповноважені ними особи;</w:t>
      </w:r>
    </w:p>
    <w:p w:rsidR="00190C0A" w:rsidRPr="00190C0A" w:rsidRDefault="00190C0A" w:rsidP="00843606">
      <w:pPr>
        <w:ind w:firstLine="708"/>
        <w:jc w:val="both"/>
        <w:rPr>
          <w:sz w:val="32"/>
          <w:szCs w:val="24"/>
        </w:rPr>
      </w:pPr>
      <w:r>
        <w:rPr>
          <w:color w:val="000000"/>
          <w:sz w:val="24"/>
          <w:shd w:val="clear" w:color="auto" w:fill="FFFFFF"/>
        </w:rPr>
        <w:t xml:space="preserve">- </w:t>
      </w:r>
      <w:r w:rsidRPr="00190C0A">
        <w:rPr>
          <w:color w:val="000000"/>
          <w:sz w:val="24"/>
          <w:shd w:val="clear" w:color="auto" w:fill="FFFFFF"/>
        </w:rPr>
        <w:t>замовник технічної інвентаризації</w:t>
      </w:r>
      <w:r>
        <w:rPr>
          <w:color w:val="000000"/>
          <w:sz w:val="24"/>
          <w:shd w:val="clear" w:color="auto" w:fill="FFFFFF"/>
        </w:rPr>
        <w:t xml:space="preserve"> (далі - замовник) – власник об’</w:t>
      </w:r>
      <w:r w:rsidRPr="00190C0A">
        <w:rPr>
          <w:color w:val="000000"/>
          <w:sz w:val="24"/>
          <w:shd w:val="clear" w:color="auto" w:fill="FFFFFF"/>
        </w:rPr>
        <w:t>єкта нерухомого майна (у то</w:t>
      </w:r>
      <w:r>
        <w:rPr>
          <w:color w:val="000000"/>
          <w:sz w:val="24"/>
          <w:shd w:val="clear" w:color="auto" w:fill="FFFFFF"/>
        </w:rPr>
        <w:t>му числі земельної ділянки), об’</w:t>
      </w:r>
      <w:r w:rsidRPr="00190C0A">
        <w:rPr>
          <w:color w:val="000000"/>
          <w:sz w:val="24"/>
          <w:shd w:val="clear" w:color="auto" w:fill="FFFFFF"/>
        </w:rPr>
        <w:t>єкта незавершеного будівництва; замовник будівництва; особа, яка має право на спадщину (за запитом нотаріуса); особа, яка має інші ре</w:t>
      </w:r>
      <w:r>
        <w:rPr>
          <w:color w:val="000000"/>
          <w:sz w:val="24"/>
          <w:shd w:val="clear" w:color="auto" w:fill="FFFFFF"/>
        </w:rPr>
        <w:t>чові права на об’</w:t>
      </w:r>
      <w:r w:rsidRPr="00190C0A">
        <w:rPr>
          <w:color w:val="000000"/>
          <w:sz w:val="24"/>
          <w:shd w:val="clear" w:color="auto" w:fill="FFFFFF"/>
        </w:rPr>
        <w:t>єкт нерухомого майна, у тому числі на земельну ділянк</w:t>
      </w:r>
      <w:r>
        <w:rPr>
          <w:color w:val="000000"/>
          <w:sz w:val="24"/>
          <w:shd w:val="clear" w:color="auto" w:fill="FFFFFF"/>
        </w:rPr>
        <w:t>у, на якій розташовано такий об’</w:t>
      </w:r>
      <w:r w:rsidRPr="00190C0A">
        <w:rPr>
          <w:color w:val="000000"/>
          <w:sz w:val="24"/>
          <w:shd w:val="clear" w:color="auto" w:fill="FFFFFF"/>
        </w:rPr>
        <w:t>єкт; орган, уповноважений управляти майном (у тому числі житлово-будівельні, дачні та гаражні кооперативи, садові товариства);</w:t>
      </w:r>
    </w:p>
    <w:p w:rsidR="00843606" w:rsidRPr="00843606" w:rsidRDefault="00843606" w:rsidP="00843606">
      <w:pPr>
        <w:ind w:firstLine="708"/>
        <w:jc w:val="both"/>
        <w:rPr>
          <w:sz w:val="24"/>
          <w:szCs w:val="24"/>
        </w:rPr>
      </w:pPr>
      <w:r w:rsidRPr="00843606">
        <w:rPr>
          <w:sz w:val="24"/>
          <w:szCs w:val="24"/>
        </w:rPr>
        <w:t xml:space="preserve">- </w:t>
      </w:r>
      <w:r w:rsidR="00DF6104">
        <w:rPr>
          <w:sz w:val="24"/>
          <w:szCs w:val="24"/>
        </w:rPr>
        <w:t>зберігач</w:t>
      </w:r>
      <w:r w:rsidRPr="00843606">
        <w:rPr>
          <w:sz w:val="24"/>
          <w:szCs w:val="24"/>
        </w:rPr>
        <w:t xml:space="preserve"> – </w:t>
      </w:r>
      <w:r w:rsidR="00190C0A" w:rsidRPr="00190C0A">
        <w:rPr>
          <w:color w:val="000000"/>
          <w:sz w:val="24"/>
          <w:shd w:val="clear" w:color="auto" w:fill="FFFFFF"/>
        </w:rPr>
        <w:t>юридична особа публічного права, яка здійснює зберігання інвентаризаційної с</w:t>
      </w:r>
      <w:r w:rsidR="00190C0A">
        <w:rPr>
          <w:color w:val="000000"/>
          <w:sz w:val="24"/>
          <w:shd w:val="clear" w:color="auto" w:fill="FFFFFF"/>
        </w:rPr>
        <w:t>прави за місцем розташування об’</w:t>
      </w:r>
      <w:r w:rsidR="00190C0A" w:rsidRPr="00190C0A">
        <w:rPr>
          <w:color w:val="000000"/>
          <w:sz w:val="24"/>
          <w:shd w:val="clear" w:color="auto" w:fill="FFFFFF"/>
        </w:rPr>
        <w:t>єкта нерухомого майна. Зберігач не проводить робот</w:t>
      </w:r>
      <w:r w:rsidR="00190C0A">
        <w:rPr>
          <w:color w:val="000000"/>
          <w:sz w:val="24"/>
          <w:shd w:val="clear" w:color="auto" w:fill="FFFFFF"/>
        </w:rPr>
        <w:t>и з технічної інвентаризації об’</w:t>
      </w:r>
      <w:r w:rsidR="00190C0A" w:rsidRPr="00190C0A">
        <w:rPr>
          <w:color w:val="000000"/>
          <w:sz w:val="24"/>
          <w:shd w:val="clear" w:color="auto" w:fill="FFFFFF"/>
        </w:rPr>
        <w:t>єктів нерухомого майна</w:t>
      </w:r>
      <w:r w:rsidR="00190C0A">
        <w:rPr>
          <w:color w:val="000000"/>
          <w:sz w:val="24"/>
          <w:shd w:val="clear" w:color="auto" w:fill="FFFFFF"/>
        </w:rPr>
        <w:t>. Зберігач визначається відповідним рішенням Попаснянської міської ради</w:t>
      </w:r>
      <w:r w:rsidR="00190C0A" w:rsidRPr="00190C0A">
        <w:rPr>
          <w:color w:val="000000"/>
          <w:sz w:val="24"/>
          <w:shd w:val="clear" w:color="auto" w:fill="FFFFFF"/>
        </w:rPr>
        <w:t>;</w:t>
      </w:r>
    </w:p>
    <w:p w:rsidR="00843606" w:rsidRPr="00190C0A" w:rsidRDefault="00843606" w:rsidP="00843606">
      <w:pPr>
        <w:ind w:firstLine="708"/>
        <w:jc w:val="both"/>
        <w:rPr>
          <w:sz w:val="32"/>
          <w:szCs w:val="24"/>
        </w:rPr>
      </w:pPr>
      <w:r w:rsidRPr="00190C0A">
        <w:rPr>
          <w:sz w:val="32"/>
          <w:szCs w:val="24"/>
        </w:rPr>
        <w:t xml:space="preserve">- </w:t>
      </w:r>
      <w:r w:rsidR="00190C0A">
        <w:rPr>
          <w:color w:val="000000"/>
          <w:sz w:val="24"/>
          <w:shd w:val="clear" w:color="auto" w:fill="FFFFFF"/>
        </w:rPr>
        <w:t xml:space="preserve">інвентаризаційна справа – </w:t>
      </w:r>
      <w:r w:rsidR="00190C0A" w:rsidRPr="00190C0A">
        <w:rPr>
          <w:color w:val="000000"/>
          <w:sz w:val="24"/>
          <w:shd w:val="clear" w:color="auto" w:fill="FFFFFF"/>
        </w:rPr>
        <w:t>сукупність матеріалів технічної інвентаризації (в тому числі ведення яких здійснювало бюро технічної інвентаризації до 01 січня 2013 року)</w:t>
      </w:r>
      <w:r w:rsidR="00190C0A">
        <w:rPr>
          <w:color w:val="000000"/>
          <w:sz w:val="24"/>
          <w:shd w:val="clear" w:color="auto" w:fill="FFFFFF"/>
        </w:rPr>
        <w:t>, що характеризують об’</w:t>
      </w:r>
      <w:r w:rsidR="00190C0A" w:rsidRPr="00190C0A">
        <w:rPr>
          <w:color w:val="000000"/>
          <w:sz w:val="24"/>
          <w:shd w:val="clear" w:color="auto" w:fill="FFFFFF"/>
        </w:rPr>
        <w:t xml:space="preserve">єкт нерухомого майна і які є підставою для </w:t>
      </w:r>
      <w:r w:rsidR="00190C0A">
        <w:rPr>
          <w:color w:val="000000"/>
          <w:sz w:val="24"/>
          <w:shd w:val="clear" w:color="auto" w:fill="FFFFFF"/>
        </w:rPr>
        <w:t>надання інформації про такий об’</w:t>
      </w:r>
      <w:r w:rsidR="00190C0A" w:rsidRPr="00190C0A">
        <w:rPr>
          <w:color w:val="000000"/>
          <w:sz w:val="24"/>
          <w:shd w:val="clear" w:color="auto" w:fill="FFFFFF"/>
        </w:rPr>
        <w:t>єкт. Інвентаризаційна справа має свій інвентаризаційний номер, який надає зберігач</w:t>
      </w:r>
      <w:r w:rsidR="00190C0A" w:rsidRPr="00190C0A">
        <w:rPr>
          <w:sz w:val="32"/>
          <w:szCs w:val="24"/>
        </w:rPr>
        <w:t>;</w:t>
      </w:r>
    </w:p>
    <w:p w:rsidR="00843606" w:rsidRPr="00843606" w:rsidRDefault="00843606" w:rsidP="00843606">
      <w:pPr>
        <w:ind w:firstLine="708"/>
        <w:jc w:val="both"/>
        <w:rPr>
          <w:sz w:val="24"/>
          <w:szCs w:val="24"/>
        </w:rPr>
      </w:pPr>
      <w:r w:rsidRPr="00843606">
        <w:rPr>
          <w:sz w:val="24"/>
          <w:szCs w:val="24"/>
        </w:rPr>
        <w:t>- матеріали технічної інвентаризації – задокументована інформація щодо виконаних робіт з технічної інвентаризації об’єктів нерухомого майна</w:t>
      </w:r>
      <w:r w:rsidR="00FC4F2D">
        <w:rPr>
          <w:sz w:val="24"/>
          <w:szCs w:val="24"/>
        </w:rPr>
        <w:t xml:space="preserve">, </w:t>
      </w:r>
      <w:r w:rsidR="00FC4F2D" w:rsidRPr="00FC4F2D">
        <w:rPr>
          <w:sz w:val="24"/>
          <w:szCs w:val="24"/>
        </w:rPr>
        <w:t>сукупність д</w:t>
      </w:r>
      <w:r w:rsidR="00190C0A">
        <w:rPr>
          <w:sz w:val="24"/>
          <w:szCs w:val="24"/>
        </w:rPr>
        <w:t>окументації, що характеризує об’</w:t>
      </w:r>
      <w:r w:rsidR="00FC4F2D" w:rsidRPr="00FC4F2D">
        <w:rPr>
          <w:sz w:val="24"/>
          <w:szCs w:val="24"/>
        </w:rPr>
        <w:t>єкт нерухомого майна. На підставі матеріалів технічної інвентаризації складаються інвентаризаційні справи та технічні паспорти;</w:t>
      </w:r>
    </w:p>
    <w:p w:rsidR="00843606" w:rsidRDefault="00843606" w:rsidP="0072179A">
      <w:pPr>
        <w:ind w:firstLine="708"/>
        <w:jc w:val="both"/>
        <w:rPr>
          <w:color w:val="000000"/>
          <w:sz w:val="24"/>
          <w:shd w:val="clear" w:color="auto" w:fill="FFFFFF"/>
        </w:rPr>
      </w:pPr>
      <w:r w:rsidRPr="00843606">
        <w:rPr>
          <w:sz w:val="24"/>
          <w:szCs w:val="24"/>
        </w:rPr>
        <w:t xml:space="preserve">- </w:t>
      </w:r>
      <w:r w:rsidR="00190C0A">
        <w:rPr>
          <w:color w:val="000000"/>
          <w:sz w:val="24"/>
          <w:shd w:val="clear" w:color="auto" w:fill="FFFFFF"/>
        </w:rPr>
        <w:t xml:space="preserve">суб’єкт господарювання – </w:t>
      </w:r>
      <w:r w:rsidR="00190C0A" w:rsidRPr="00190C0A">
        <w:rPr>
          <w:color w:val="000000"/>
          <w:sz w:val="24"/>
          <w:shd w:val="clear" w:color="auto" w:fill="FFFFFF"/>
        </w:rPr>
        <w:t>фізична особа - підприємець або юридична особа, у складі якої працюють один або більше відповідальних виконавців ок</w:t>
      </w:r>
      <w:r w:rsidR="00190C0A">
        <w:rPr>
          <w:color w:val="000000"/>
          <w:sz w:val="24"/>
          <w:shd w:val="clear" w:color="auto" w:fill="FFFFFF"/>
        </w:rPr>
        <w:t>ремих видів робіт (послуг), пов’язаних зі створенням об’</w:t>
      </w:r>
      <w:r w:rsidR="00190C0A" w:rsidRPr="00190C0A">
        <w:rPr>
          <w:color w:val="000000"/>
          <w:sz w:val="24"/>
          <w:shd w:val="clear" w:color="auto" w:fill="FFFFFF"/>
        </w:rPr>
        <w:t>єктів архітектури, які пройшли професійну атестацію та отримали кваліфікаційний сертифікат на право виконання робіт</w:t>
      </w:r>
      <w:r w:rsidR="00190C0A">
        <w:rPr>
          <w:color w:val="000000"/>
          <w:sz w:val="24"/>
          <w:shd w:val="clear" w:color="auto" w:fill="FFFFFF"/>
        </w:rPr>
        <w:t xml:space="preserve"> із технічної </w:t>
      </w:r>
      <w:r w:rsidR="00190C0A">
        <w:rPr>
          <w:color w:val="000000"/>
          <w:sz w:val="24"/>
          <w:shd w:val="clear" w:color="auto" w:fill="FFFFFF"/>
        </w:rPr>
        <w:lastRenderedPageBreak/>
        <w:t>інвентаризації об’</w:t>
      </w:r>
      <w:r w:rsidR="00190C0A" w:rsidRPr="00190C0A">
        <w:rPr>
          <w:color w:val="000000"/>
          <w:sz w:val="24"/>
          <w:shd w:val="clear" w:color="auto" w:fill="FFFFFF"/>
        </w:rPr>
        <w:t>єктів нерухомого майна відповідно до </w:t>
      </w:r>
      <w:r w:rsidR="00190C0A" w:rsidRPr="00190C0A">
        <w:rPr>
          <w:sz w:val="24"/>
          <w:shd w:val="clear" w:color="auto" w:fill="FFFFFF"/>
        </w:rPr>
        <w:t>Закону України</w:t>
      </w:r>
      <w:r w:rsidR="00190C0A">
        <w:rPr>
          <w:color w:val="000000"/>
          <w:sz w:val="24"/>
          <w:shd w:val="clear" w:color="auto" w:fill="FFFFFF"/>
        </w:rPr>
        <w:t> «Про архітектурну діяльність»</w:t>
      </w:r>
      <w:r w:rsidR="00190C0A" w:rsidRPr="00190C0A">
        <w:rPr>
          <w:color w:val="000000"/>
          <w:sz w:val="24"/>
          <w:shd w:val="clear" w:color="auto" w:fill="FFFFFF"/>
        </w:rPr>
        <w:t>;</w:t>
      </w:r>
    </w:p>
    <w:p w:rsidR="00190C0A" w:rsidRPr="00190C0A" w:rsidRDefault="00190C0A" w:rsidP="002D05C4">
      <w:pPr>
        <w:pStyle w:val="rvps2"/>
        <w:shd w:val="clear" w:color="auto" w:fill="FFFFFF"/>
        <w:spacing w:before="0" w:beforeAutospacing="0" w:after="0" w:afterAutospacing="0"/>
        <w:ind w:firstLine="450"/>
        <w:jc w:val="both"/>
        <w:rPr>
          <w:color w:val="000000"/>
          <w:lang w:val="uk-UA"/>
        </w:rPr>
      </w:pPr>
      <w:r>
        <w:rPr>
          <w:color w:val="000000"/>
          <w:lang w:val="uk-UA"/>
        </w:rPr>
        <w:t xml:space="preserve">- технічна інвентаризація – </w:t>
      </w:r>
      <w:r w:rsidRPr="00190C0A">
        <w:rPr>
          <w:color w:val="000000"/>
          <w:lang w:val="uk-UA"/>
        </w:rPr>
        <w:t>комплекс роб</w:t>
      </w:r>
      <w:r w:rsidR="002D05C4">
        <w:rPr>
          <w:color w:val="000000"/>
          <w:lang w:val="uk-UA"/>
        </w:rPr>
        <w:t>іт з обмірювання об’</w:t>
      </w:r>
      <w:r w:rsidRPr="00190C0A">
        <w:rPr>
          <w:color w:val="000000"/>
          <w:lang w:val="uk-UA"/>
        </w:rPr>
        <w:t>єкта нерухомого майна з визначенням йог</w:t>
      </w:r>
      <w:r w:rsidR="002D05C4">
        <w:rPr>
          <w:color w:val="000000"/>
          <w:lang w:val="uk-UA"/>
        </w:rPr>
        <w:t>о складу, фактичної площі та об’</w:t>
      </w:r>
      <w:r w:rsidRPr="00190C0A">
        <w:rPr>
          <w:color w:val="000000"/>
          <w:lang w:val="uk-UA"/>
        </w:rPr>
        <w:t>єму, технічного стану та/або з визначенням змін зазначених характеристик за певний період часу (у разі наявності попередньої інвентаризаційної справи) із виготовленням необхідних документів (матеріалів технічної інвентаризаці</w:t>
      </w:r>
      <w:r w:rsidR="0075165F">
        <w:rPr>
          <w:color w:val="000000"/>
          <w:lang w:val="uk-UA"/>
        </w:rPr>
        <w:t>ї, технічного паспорта) та обов’</w:t>
      </w:r>
      <w:r w:rsidRPr="00190C0A">
        <w:rPr>
          <w:color w:val="000000"/>
          <w:lang w:val="uk-UA"/>
        </w:rPr>
        <w:t>язко</w:t>
      </w:r>
      <w:r w:rsidR="002D05C4">
        <w:rPr>
          <w:color w:val="000000"/>
          <w:lang w:val="uk-UA"/>
        </w:rPr>
        <w:t>вим внесенням відомостей про об’</w:t>
      </w:r>
      <w:r w:rsidRPr="00190C0A">
        <w:rPr>
          <w:color w:val="000000"/>
          <w:lang w:val="uk-UA"/>
        </w:rPr>
        <w:t>єкт</w:t>
      </w:r>
      <w:r w:rsidR="002D05C4">
        <w:rPr>
          <w:color w:val="000000"/>
          <w:lang w:val="uk-UA"/>
        </w:rPr>
        <w:t xml:space="preserve"> нерухомого майна до Реєстру об’</w:t>
      </w:r>
      <w:r w:rsidRPr="00190C0A">
        <w:rPr>
          <w:color w:val="000000"/>
          <w:lang w:val="uk-UA"/>
        </w:rPr>
        <w:t>єктів нерухомого майна (після створення цього Реєстру);</w:t>
      </w:r>
    </w:p>
    <w:p w:rsidR="00190C0A" w:rsidRDefault="002D05C4" w:rsidP="002D05C4">
      <w:pPr>
        <w:pStyle w:val="rvps2"/>
        <w:shd w:val="clear" w:color="auto" w:fill="FFFFFF"/>
        <w:spacing w:before="0" w:beforeAutospacing="0" w:after="0" w:afterAutospacing="0"/>
        <w:ind w:firstLine="450"/>
        <w:jc w:val="both"/>
        <w:rPr>
          <w:color w:val="000000"/>
          <w:lang w:val="uk-UA"/>
        </w:rPr>
      </w:pPr>
      <w:bookmarkStart w:id="1" w:name="n76"/>
      <w:bookmarkEnd w:id="1"/>
      <w:r>
        <w:rPr>
          <w:color w:val="000000"/>
          <w:lang w:val="uk-UA"/>
        </w:rPr>
        <w:t xml:space="preserve">- технічний паспорт – </w:t>
      </w:r>
      <w:r w:rsidR="00190C0A" w:rsidRPr="00190C0A">
        <w:rPr>
          <w:color w:val="000000"/>
          <w:lang w:val="uk-UA"/>
        </w:rPr>
        <w:t xml:space="preserve">документ, що складається на основі матеріалів технічної інвентаризації об'єкта нерухомого майна, містить основні відомості про нього (місцезнаходження (адреса), склад, технічні </w:t>
      </w:r>
      <w:r>
        <w:rPr>
          <w:color w:val="000000"/>
          <w:lang w:val="uk-UA"/>
        </w:rPr>
        <w:t>характеристики, план та опис об’єкта, ім’</w:t>
      </w:r>
      <w:r w:rsidR="00190C0A" w:rsidRPr="00190C0A">
        <w:rPr>
          <w:color w:val="000000"/>
          <w:lang w:val="uk-UA"/>
        </w:rPr>
        <w:t>я/найменування власника/замовника, відомості щодо права</w:t>
      </w:r>
      <w:r>
        <w:rPr>
          <w:color w:val="000000"/>
          <w:lang w:val="uk-UA"/>
        </w:rPr>
        <w:t xml:space="preserve"> власності на об’</w:t>
      </w:r>
      <w:r w:rsidR="00190C0A" w:rsidRPr="00190C0A">
        <w:rPr>
          <w:color w:val="000000"/>
          <w:lang w:val="uk-UA"/>
        </w:rPr>
        <w:t>єкт нерух</w:t>
      </w:r>
      <w:r>
        <w:rPr>
          <w:color w:val="000000"/>
          <w:lang w:val="uk-UA"/>
        </w:rPr>
        <w:t>омого майна, відомості щодо суб’</w:t>
      </w:r>
      <w:r w:rsidR="00190C0A" w:rsidRPr="00190C0A">
        <w:rPr>
          <w:color w:val="000000"/>
          <w:lang w:val="uk-UA"/>
        </w:rPr>
        <w:t>єкта господарювання, який виготовив технічний паспорт тощо) та видається замовнику. Технічний паспорт має бути прошнурований, пронумерований та ск</w:t>
      </w:r>
      <w:r>
        <w:rPr>
          <w:color w:val="000000"/>
          <w:lang w:val="uk-UA"/>
        </w:rPr>
        <w:t>ріплений підписом керівника суб’</w:t>
      </w:r>
      <w:r w:rsidR="00190C0A" w:rsidRPr="00190C0A">
        <w:rPr>
          <w:color w:val="000000"/>
          <w:lang w:val="uk-UA"/>
        </w:rPr>
        <w:t>єкта господарювання, який проводив інвентаризацію, а також підписом виконавця робіт і контролера із зазначенням серії та номера кваліфікаційного сертифіката на право виконання робі</w:t>
      </w:r>
      <w:r>
        <w:rPr>
          <w:color w:val="000000"/>
          <w:lang w:val="uk-UA"/>
        </w:rPr>
        <w:t>т з технічної інвентаризації об’єктів нерухомого майна.</w:t>
      </w:r>
    </w:p>
    <w:p w:rsidR="002D05C4" w:rsidRPr="002D05C4" w:rsidRDefault="002D05C4" w:rsidP="002D05C4">
      <w:pPr>
        <w:pStyle w:val="rvps2"/>
        <w:shd w:val="clear" w:color="auto" w:fill="FFFFFF"/>
        <w:spacing w:before="0" w:beforeAutospacing="0" w:after="0" w:afterAutospacing="0"/>
        <w:ind w:firstLine="450"/>
        <w:jc w:val="both"/>
        <w:rPr>
          <w:color w:val="000000"/>
          <w:lang w:val="uk-UA"/>
        </w:rPr>
      </w:pPr>
      <w:r>
        <w:rPr>
          <w:color w:val="000000"/>
          <w:lang w:val="uk-UA"/>
        </w:rPr>
        <w:t>1.4</w:t>
      </w:r>
      <w:r w:rsidRPr="002D05C4">
        <w:rPr>
          <w:color w:val="000000"/>
          <w:lang w:val="uk-UA"/>
        </w:rPr>
        <w:t>. Інші терміни вживаються у значеннях, наведених у Цивільному кодексі України, Законі України</w:t>
      </w:r>
      <w:r>
        <w:rPr>
          <w:color w:val="000000"/>
          <w:lang w:val="uk-UA"/>
        </w:rPr>
        <w:t> «</w:t>
      </w:r>
      <w:r w:rsidRPr="002D05C4">
        <w:rPr>
          <w:color w:val="000000"/>
          <w:lang w:val="uk-UA"/>
        </w:rPr>
        <w:t>Про особливості здійснення права власності у багатокварти</w:t>
      </w:r>
      <w:r>
        <w:rPr>
          <w:color w:val="000000"/>
          <w:lang w:val="uk-UA"/>
        </w:rPr>
        <w:t>рному будинку»</w:t>
      </w:r>
      <w:r w:rsidRPr="002D05C4">
        <w:rPr>
          <w:color w:val="000000"/>
          <w:lang w:val="uk-UA"/>
        </w:rPr>
        <w:t>, нормативно-правових актах та нормативних документах.</w:t>
      </w:r>
    </w:p>
    <w:p w:rsidR="002D05C4" w:rsidRDefault="002D05C4" w:rsidP="002D05C4">
      <w:pPr>
        <w:pStyle w:val="rvps2"/>
        <w:shd w:val="clear" w:color="auto" w:fill="FFFFFF"/>
        <w:spacing w:before="0" w:beforeAutospacing="0" w:after="0" w:afterAutospacing="0"/>
        <w:ind w:firstLine="450"/>
        <w:jc w:val="both"/>
        <w:rPr>
          <w:color w:val="000000"/>
          <w:lang w:val="uk-UA"/>
        </w:rPr>
      </w:pPr>
      <w:bookmarkStart w:id="2" w:name="n83"/>
      <w:bookmarkEnd w:id="2"/>
      <w:r>
        <w:rPr>
          <w:color w:val="000000"/>
          <w:lang w:val="uk-UA"/>
        </w:rPr>
        <w:t xml:space="preserve">1.5. </w:t>
      </w:r>
      <w:r w:rsidRPr="002D05C4">
        <w:rPr>
          <w:color w:val="000000"/>
          <w:lang w:val="uk-UA"/>
        </w:rPr>
        <w:t xml:space="preserve">Дія </w:t>
      </w:r>
      <w:r>
        <w:rPr>
          <w:color w:val="000000"/>
          <w:lang w:val="uk-UA"/>
        </w:rPr>
        <w:t xml:space="preserve">цього </w:t>
      </w:r>
      <w:r w:rsidR="00EA5169">
        <w:rPr>
          <w:color w:val="000000"/>
          <w:lang w:val="uk-UA"/>
        </w:rPr>
        <w:t>Порядку</w:t>
      </w:r>
      <w:r w:rsidRPr="002D05C4">
        <w:rPr>
          <w:color w:val="000000"/>
          <w:lang w:val="uk-UA"/>
        </w:rPr>
        <w:t xml:space="preserve"> не поширюється на проведення інвентаризації земельних ділянок, зелених насаджень, інженерних</w:t>
      </w:r>
      <w:r>
        <w:rPr>
          <w:color w:val="000000"/>
          <w:lang w:val="uk-UA"/>
        </w:rPr>
        <w:t xml:space="preserve"> мереж, специфічних лінійних об’</w:t>
      </w:r>
      <w:r w:rsidRPr="002D05C4">
        <w:rPr>
          <w:color w:val="000000"/>
          <w:lang w:val="uk-UA"/>
        </w:rPr>
        <w:t xml:space="preserve">єктів (залізниці, шляхи та мости (шляхопроводи), гідротехнічні споруди, лінії </w:t>
      </w:r>
      <w:proofErr w:type="spellStart"/>
      <w:r w:rsidRPr="002D05C4">
        <w:rPr>
          <w:color w:val="000000"/>
          <w:lang w:val="uk-UA"/>
        </w:rPr>
        <w:t>електропередач</w:t>
      </w:r>
      <w:proofErr w:type="spellEnd"/>
      <w:r w:rsidRPr="002D05C4">
        <w:rPr>
          <w:color w:val="000000"/>
          <w:lang w:val="uk-UA"/>
        </w:rPr>
        <w:t xml:space="preserve">, злітно-посадкові смуги, шахтні поля та стволи (гірничі виробки тощо), </w:t>
      </w:r>
      <w:proofErr w:type="spellStart"/>
      <w:r w:rsidRPr="002D05C4">
        <w:rPr>
          <w:color w:val="000000"/>
          <w:lang w:val="uk-UA"/>
        </w:rPr>
        <w:t>геліопарків</w:t>
      </w:r>
      <w:proofErr w:type="spellEnd"/>
      <w:r w:rsidRPr="002D05C4">
        <w:rPr>
          <w:color w:val="000000"/>
          <w:lang w:val="uk-UA"/>
        </w:rPr>
        <w:t xml:space="preserve"> та </w:t>
      </w:r>
      <w:proofErr w:type="spellStart"/>
      <w:r w:rsidRPr="002D05C4">
        <w:rPr>
          <w:color w:val="000000"/>
          <w:lang w:val="uk-UA"/>
        </w:rPr>
        <w:t>вітропарків</w:t>
      </w:r>
      <w:proofErr w:type="spellEnd"/>
      <w:r w:rsidRPr="002D05C4">
        <w:rPr>
          <w:color w:val="000000"/>
          <w:lang w:val="uk-UA"/>
        </w:rPr>
        <w:t xml:space="preserve"> (якщо немає будівель), технологічного устаткування та обладнання.</w:t>
      </w:r>
    </w:p>
    <w:p w:rsidR="00F813F8" w:rsidRPr="002D05C4" w:rsidRDefault="00F813F8" w:rsidP="002D05C4">
      <w:pPr>
        <w:pStyle w:val="rvps2"/>
        <w:shd w:val="clear" w:color="auto" w:fill="FFFFFF"/>
        <w:spacing w:before="0" w:beforeAutospacing="0" w:after="0" w:afterAutospacing="0"/>
        <w:ind w:firstLine="450"/>
        <w:jc w:val="both"/>
        <w:rPr>
          <w:color w:val="000000"/>
          <w:lang w:val="uk-UA"/>
        </w:rPr>
      </w:pPr>
      <w:r>
        <w:rPr>
          <w:color w:val="000000"/>
          <w:lang w:val="uk-UA"/>
        </w:rPr>
        <w:t>1.6. Розпорядчим документом зберігача визначаються відповідальні посадові особи, на яких покладено обов’язки з організації виконання цього Порядку.</w:t>
      </w:r>
    </w:p>
    <w:p w:rsidR="00190C0A" w:rsidRPr="00190C0A" w:rsidRDefault="00190C0A" w:rsidP="0072179A">
      <w:pPr>
        <w:ind w:firstLine="708"/>
        <w:jc w:val="both"/>
        <w:rPr>
          <w:sz w:val="32"/>
          <w:szCs w:val="24"/>
        </w:rPr>
      </w:pPr>
    </w:p>
    <w:p w:rsidR="00843606" w:rsidRPr="005B2DE0" w:rsidRDefault="00843606" w:rsidP="0041087F">
      <w:pPr>
        <w:ind w:firstLine="708"/>
        <w:jc w:val="center"/>
        <w:rPr>
          <w:b/>
          <w:sz w:val="24"/>
          <w:szCs w:val="24"/>
        </w:rPr>
      </w:pPr>
      <w:r w:rsidRPr="005B2DE0">
        <w:rPr>
          <w:b/>
          <w:sz w:val="24"/>
          <w:szCs w:val="24"/>
        </w:rPr>
        <w:t>2. Складання та подання заяв (запитів) на</w:t>
      </w:r>
      <w:r w:rsidR="0041087F" w:rsidRPr="005B2DE0">
        <w:rPr>
          <w:b/>
          <w:sz w:val="24"/>
          <w:szCs w:val="24"/>
        </w:rPr>
        <w:t xml:space="preserve"> доступ до матеріалів технічної </w:t>
      </w:r>
      <w:r w:rsidRPr="005B2DE0">
        <w:rPr>
          <w:b/>
          <w:sz w:val="24"/>
          <w:szCs w:val="24"/>
        </w:rPr>
        <w:t>інвентаризації, ре</w:t>
      </w:r>
      <w:r w:rsidR="0072179A" w:rsidRPr="005B2DE0">
        <w:rPr>
          <w:b/>
          <w:sz w:val="24"/>
          <w:szCs w:val="24"/>
        </w:rPr>
        <w:t>єстрових книг та архівних справ</w:t>
      </w:r>
    </w:p>
    <w:p w:rsidR="00FC4F2D" w:rsidRDefault="00FC4F2D" w:rsidP="0041087F">
      <w:pPr>
        <w:ind w:firstLine="708"/>
        <w:jc w:val="center"/>
        <w:rPr>
          <w:sz w:val="24"/>
          <w:szCs w:val="24"/>
        </w:rPr>
      </w:pPr>
    </w:p>
    <w:p w:rsidR="005B2DE0" w:rsidRDefault="00843606" w:rsidP="005B2DE0">
      <w:pPr>
        <w:ind w:firstLine="567"/>
        <w:jc w:val="both"/>
        <w:rPr>
          <w:sz w:val="24"/>
          <w:szCs w:val="24"/>
        </w:rPr>
      </w:pPr>
      <w:r w:rsidRPr="00843606">
        <w:rPr>
          <w:sz w:val="24"/>
          <w:szCs w:val="24"/>
        </w:rPr>
        <w:t xml:space="preserve">2.1. Надання доступу до матеріалів технічної інвентаризації, реєстрових книг та архівних справ </w:t>
      </w:r>
      <w:r w:rsidR="005B2DE0">
        <w:rPr>
          <w:sz w:val="24"/>
          <w:szCs w:val="24"/>
        </w:rPr>
        <w:t>здійснюється</w:t>
      </w:r>
      <w:r w:rsidRPr="00843606">
        <w:rPr>
          <w:sz w:val="24"/>
          <w:szCs w:val="24"/>
        </w:rPr>
        <w:t xml:space="preserve"> за запитом </w:t>
      </w:r>
      <w:r w:rsidR="005B2DE0">
        <w:rPr>
          <w:sz w:val="24"/>
          <w:szCs w:val="24"/>
        </w:rPr>
        <w:t>заявника або суб’єкта господарювання.</w:t>
      </w:r>
    </w:p>
    <w:p w:rsidR="00843606" w:rsidRDefault="005B2DE0" w:rsidP="005B2DE0">
      <w:pPr>
        <w:ind w:firstLine="567"/>
        <w:jc w:val="both"/>
        <w:rPr>
          <w:sz w:val="24"/>
          <w:szCs w:val="24"/>
        </w:rPr>
      </w:pPr>
      <w:r>
        <w:rPr>
          <w:sz w:val="24"/>
          <w:szCs w:val="24"/>
        </w:rPr>
        <w:tab/>
        <w:t>За надання доступу до матеріалів технічної</w:t>
      </w:r>
      <w:r w:rsidRPr="00843606">
        <w:rPr>
          <w:sz w:val="24"/>
          <w:szCs w:val="24"/>
        </w:rPr>
        <w:t xml:space="preserve"> інвентаризації, реєстрових книг та архівних справ</w:t>
      </w:r>
      <w:r w:rsidR="00F338CB">
        <w:rPr>
          <w:sz w:val="24"/>
          <w:szCs w:val="24"/>
        </w:rPr>
        <w:t xml:space="preserve"> шляхом надання копій,</w:t>
      </w:r>
      <w:r w:rsidR="00843606" w:rsidRPr="00843606">
        <w:rPr>
          <w:sz w:val="24"/>
          <w:szCs w:val="24"/>
        </w:rPr>
        <w:t xml:space="preserve"> </w:t>
      </w:r>
      <w:r>
        <w:rPr>
          <w:sz w:val="24"/>
          <w:szCs w:val="24"/>
        </w:rPr>
        <w:t>справляється адміністративний збір, розмір якого встановлюється рішенням Попаснянської міської ради.</w:t>
      </w:r>
    </w:p>
    <w:p w:rsidR="00F338CB" w:rsidRPr="00843606" w:rsidRDefault="00F338CB" w:rsidP="005B2DE0">
      <w:pPr>
        <w:ind w:firstLine="567"/>
        <w:jc w:val="both"/>
        <w:rPr>
          <w:sz w:val="24"/>
          <w:szCs w:val="24"/>
        </w:rPr>
      </w:pPr>
      <w:r w:rsidRPr="00843606">
        <w:rPr>
          <w:sz w:val="24"/>
          <w:szCs w:val="24"/>
        </w:rPr>
        <w:t>Надання доступу до матеріалів технічної інвентаризації, реєстрових к</w:t>
      </w:r>
      <w:r>
        <w:rPr>
          <w:sz w:val="24"/>
          <w:szCs w:val="24"/>
        </w:rPr>
        <w:t xml:space="preserve">ниг та архівних справ </w:t>
      </w:r>
      <w:r w:rsidRPr="00843606">
        <w:rPr>
          <w:sz w:val="24"/>
          <w:szCs w:val="24"/>
        </w:rPr>
        <w:t>з метою ознайомлення та отримання  необхідної інформації, яка міститься у цих справах</w:t>
      </w:r>
      <w:r>
        <w:rPr>
          <w:sz w:val="24"/>
          <w:szCs w:val="24"/>
        </w:rPr>
        <w:t xml:space="preserve"> (без надання копій), здійснюється на безоплатній основі.</w:t>
      </w:r>
    </w:p>
    <w:p w:rsidR="00843606" w:rsidRPr="00843606" w:rsidRDefault="00843606" w:rsidP="00C461C2">
      <w:pPr>
        <w:ind w:firstLine="567"/>
        <w:jc w:val="both"/>
        <w:rPr>
          <w:sz w:val="24"/>
          <w:szCs w:val="24"/>
        </w:rPr>
      </w:pPr>
      <w:r w:rsidRPr="00843606">
        <w:rPr>
          <w:sz w:val="24"/>
          <w:szCs w:val="24"/>
        </w:rPr>
        <w:t>2.2</w:t>
      </w:r>
      <w:r w:rsidR="0072179A">
        <w:rPr>
          <w:sz w:val="24"/>
          <w:szCs w:val="24"/>
        </w:rPr>
        <w:t>.</w:t>
      </w:r>
      <w:r w:rsidRPr="00843606">
        <w:rPr>
          <w:sz w:val="24"/>
          <w:szCs w:val="24"/>
        </w:rPr>
        <w:t xml:space="preserve">  Надання доступу до матеріалів технічної інвентаризації, реєстрових книг та архівних справ, проводиться на підставі </w:t>
      </w:r>
      <w:r w:rsidR="00CC4F06">
        <w:rPr>
          <w:sz w:val="24"/>
          <w:szCs w:val="24"/>
        </w:rPr>
        <w:t>письмового запиту</w:t>
      </w:r>
      <w:r w:rsidR="00F338CB">
        <w:rPr>
          <w:sz w:val="24"/>
          <w:szCs w:val="24"/>
        </w:rPr>
        <w:t xml:space="preserve"> встановленого зразка (додаток </w:t>
      </w:r>
      <w:r w:rsidR="00CC4F06">
        <w:rPr>
          <w:sz w:val="24"/>
          <w:szCs w:val="24"/>
        </w:rPr>
        <w:t xml:space="preserve">                 </w:t>
      </w:r>
      <w:r w:rsidR="000E505B">
        <w:rPr>
          <w:sz w:val="24"/>
          <w:szCs w:val="24"/>
        </w:rPr>
        <w:t xml:space="preserve"> </w:t>
      </w:r>
      <w:r w:rsidR="00CC4F06">
        <w:rPr>
          <w:sz w:val="24"/>
          <w:szCs w:val="24"/>
        </w:rPr>
        <w:t xml:space="preserve"> </w:t>
      </w:r>
      <w:r w:rsidR="00F338CB">
        <w:rPr>
          <w:sz w:val="24"/>
          <w:szCs w:val="24"/>
        </w:rPr>
        <w:t>1)</w:t>
      </w:r>
      <w:r w:rsidR="006923E2">
        <w:rPr>
          <w:sz w:val="24"/>
          <w:szCs w:val="24"/>
        </w:rPr>
        <w:t>, крім випадку наявності відомостей про об’єкт нерухомого майна у Реєстрі об’єктів нерухомого майна.</w:t>
      </w:r>
    </w:p>
    <w:p w:rsidR="00843606" w:rsidRPr="00843606" w:rsidRDefault="00CC4F06" w:rsidP="00843606">
      <w:pPr>
        <w:ind w:firstLine="708"/>
        <w:jc w:val="both"/>
        <w:rPr>
          <w:sz w:val="24"/>
          <w:szCs w:val="24"/>
        </w:rPr>
      </w:pPr>
      <w:r>
        <w:rPr>
          <w:sz w:val="24"/>
          <w:szCs w:val="24"/>
        </w:rPr>
        <w:t>До запиту додаються:</w:t>
      </w:r>
    </w:p>
    <w:p w:rsidR="00843606" w:rsidRPr="00843606" w:rsidRDefault="00843606" w:rsidP="00843606">
      <w:pPr>
        <w:ind w:firstLine="708"/>
        <w:jc w:val="both"/>
        <w:rPr>
          <w:sz w:val="24"/>
          <w:szCs w:val="24"/>
        </w:rPr>
      </w:pPr>
      <w:r w:rsidRPr="00843606">
        <w:rPr>
          <w:sz w:val="24"/>
          <w:szCs w:val="24"/>
        </w:rPr>
        <w:t xml:space="preserve">- для фізичних осіб – </w:t>
      </w:r>
      <w:r w:rsidR="00CC4F06">
        <w:rPr>
          <w:sz w:val="24"/>
          <w:szCs w:val="24"/>
        </w:rPr>
        <w:t xml:space="preserve">копія паспорту та реєстраційного номеру картки платника </w:t>
      </w:r>
      <w:r w:rsidR="00604B5B">
        <w:rPr>
          <w:sz w:val="24"/>
          <w:szCs w:val="24"/>
        </w:rPr>
        <w:t>податків, копія документу, що посвідчує право власності на об’єкт нерухомого майна.</w:t>
      </w:r>
    </w:p>
    <w:p w:rsidR="00843606" w:rsidRDefault="00843606" w:rsidP="00843606">
      <w:pPr>
        <w:ind w:firstLine="708"/>
        <w:jc w:val="both"/>
        <w:rPr>
          <w:sz w:val="24"/>
          <w:szCs w:val="24"/>
        </w:rPr>
      </w:pPr>
      <w:r w:rsidRPr="00843606">
        <w:rPr>
          <w:sz w:val="24"/>
          <w:szCs w:val="24"/>
        </w:rPr>
        <w:t xml:space="preserve">- для </w:t>
      </w:r>
      <w:r w:rsidR="00604B5B">
        <w:rPr>
          <w:sz w:val="24"/>
          <w:szCs w:val="24"/>
        </w:rPr>
        <w:t>юридичних осіб</w:t>
      </w:r>
      <w:r w:rsidRPr="00843606">
        <w:rPr>
          <w:sz w:val="24"/>
          <w:szCs w:val="24"/>
        </w:rPr>
        <w:t xml:space="preserve"> – </w:t>
      </w:r>
      <w:r w:rsidR="00604B5B">
        <w:rPr>
          <w:sz w:val="24"/>
          <w:szCs w:val="24"/>
        </w:rPr>
        <w:t>копія свідоцтва про державну реєстрацію юридичної особи або витяг з Єдиного державного реєстру юридичних осіб, фізичних осіб-підприємців та громадських формувань, довіреність;</w:t>
      </w:r>
    </w:p>
    <w:p w:rsidR="00604B5B" w:rsidRPr="00604B5B" w:rsidRDefault="00604B5B" w:rsidP="00843606">
      <w:pPr>
        <w:ind w:firstLine="708"/>
        <w:jc w:val="both"/>
        <w:rPr>
          <w:color w:val="000000"/>
          <w:sz w:val="24"/>
          <w:shd w:val="clear" w:color="auto" w:fill="FFFFFF"/>
        </w:rPr>
      </w:pPr>
      <w:r>
        <w:rPr>
          <w:sz w:val="24"/>
          <w:szCs w:val="24"/>
        </w:rPr>
        <w:t xml:space="preserve">- для суб’єктів господарювання – </w:t>
      </w:r>
      <w:r w:rsidRPr="00604B5B">
        <w:rPr>
          <w:color w:val="000000"/>
          <w:sz w:val="24"/>
          <w:shd w:val="clear" w:color="auto" w:fill="FFFFFF"/>
        </w:rPr>
        <w:t>копії документів, що по</w:t>
      </w:r>
      <w:r w:rsidR="00A260CF">
        <w:rPr>
          <w:color w:val="000000"/>
          <w:sz w:val="24"/>
          <w:shd w:val="clear" w:color="auto" w:fill="FFFFFF"/>
        </w:rPr>
        <w:t>свідчують право замовника на об’</w:t>
      </w:r>
      <w:r w:rsidRPr="00604B5B">
        <w:rPr>
          <w:color w:val="000000"/>
          <w:sz w:val="24"/>
          <w:shd w:val="clear" w:color="auto" w:fill="FFFFFF"/>
        </w:rPr>
        <w:t>єкт нерухомого майна (у раз</w:t>
      </w:r>
      <w:r w:rsidR="00A260CF">
        <w:rPr>
          <w:color w:val="000000"/>
          <w:sz w:val="24"/>
          <w:shd w:val="clear" w:color="auto" w:fill="FFFFFF"/>
        </w:rPr>
        <w:t>і відсутності інформації про об’</w:t>
      </w:r>
      <w:r w:rsidRPr="00604B5B">
        <w:rPr>
          <w:color w:val="000000"/>
          <w:sz w:val="24"/>
          <w:shd w:val="clear" w:color="auto" w:fill="FFFFFF"/>
        </w:rPr>
        <w:t xml:space="preserve">єкт у </w:t>
      </w:r>
      <w:r w:rsidRPr="00604B5B">
        <w:rPr>
          <w:color w:val="000000"/>
          <w:sz w:val="24"/>
          <w:shd w:val="clear" w:color="auto" w:fill="FFFFFF"/>
        </w:rPr>
        <w:lastRenderedPageBreak/>
        <w:t xml:space="preserve">Державному реєстрі речових прав на нерухоме майно), договору-доручення (за потреби), укладеного із замовником. </w:t>
      </w:r>
    </w:p>
    <w:p w:rsidR="00604B5B" w:rsidRDefault="00604B5B" w:rsidP="00843606">
      <w:pPr>
        <w:ind w:firstLine="708"/>
        <w:jc w:val="both"/>
        <w:rPr>
          <w:color w:val="000000"/>
          <w:sz w:val="24"/>
          <w:shd w:val="clear" w:color="auto" w:fill="FFFFFF"/>
        </w:rPr>
      </w:pPr>
      <w:r w:rsidRPr="00604B5B">
        <w:rPr>
          <w:color w:val="000000"/>
          <w:sz w:val="24"/>
          <w:shd w:val="clear" w:color="auto" w:fill="FFFFFF"/>
        </w:rPr>
        <w:t>Зберігач, я</w:t>
      </w:r>
      <w:r>
        <w:rPr>
          <w:color w:val="000000"/>
          <w:sz w:val="24"/>
          <w:shd w:val="clear" w:color="auto" w:fill="FFFFFF"/>
        </w:rPr>
        <w:t>кий прийняв запит, повертає суб’</w:t>
      </w:r>
      <w:r w:rsidRPr="00604B5B">
        <w:rPr>
          <w:color w:val="000000"/>
          <w:sz w:val="24"/>
          <w:shd w:val="clear" w:color="auto" w:fill="FFFFFF"/>
        </w:rPr>
        <w:t>єкту господарювання або заявнику копію цього запиту.</w:t>
      </w:r>
    </w:p>
    <w:p w:rsidR="00843606" w:rsidRPr="00843606" w:rsidRDefault="00604B5B" w:rsidP="00843606">
      <w:pPr>
        <w:ind w:firstLine="708"/>
        <w:jc w:val="both"/>
        <w:rPr>
          <w:sz w:val="24"/>
          <w:szCs w:val="24"/>
        </w:rPr>
      </w:pPr>
      <w:r>
        <w:rPr>
          <w:color w:val="000000"/>
          <w:sz w:val="24"/>
          <w:shd w:val="clear" w:color="auto" w:fill="FFFFFF"/>
        </w:rPr>
        <w:t xml:space="preserve">В разі, якщо до зберігача надійшов запит на отримання публічної інформації </w:t>
      </w:r>
      <w:r w:rsidR="00E67F39">
        <w:rPr>
          <w:color w:val="000000"/>
          <w:sz w:val="24"/>
          <w:shd w:val="clear" w:color="auto" w:fill="FFFFFF"/>
        </w:rPr>
        <w:t xml:space="preserve">його розгляд та обробка здійснюється відповідно до вимог Закону України </w:t>
      </w:r>
      <w:r w:rsidR="00E67F39" w:rsidRPr="00843606">
        <w:rPr>
          <w:sz w:val="24"/>
          <w:szCs w:val="24"/>
        </w:rPr>
        <w:t>«Про доступ до публічної інформації»</w:t>
      </w:r>
      <w:r w:rsidR="00E67F39">
        <w:rPr>
          <w:sz w:val="24"/>
          <w:szCs w:val="24"/>
        </w:rPr>
        <w:t xml:space="preserve"> та Закону України «Про захист персональних даних».</w:t>
      </w:r>
      <w:r w:rsidR="00843606" w:rsidRPr="00843606">
        <w:rPr>
          <w:sz w:val="24"/>
          <w:szCs w:val="24"/>
        </w:rPr>
        <w:t xml:space="preserve"> </w:t>
      </w:r>
    </w:p>
    <w:p w:rsidR="00843606" w:rsidRPr="00843606" w:rsidRDefault="00843606" w:rsidP="00843606">
      <w:pPr>
        <w:ind w:firstLine="708"/>
        <w:jc w:val="both"/>
        <w:rPr>
          <w:sz w:val="24"/>
          <w:szCs w:val="24"/>
        </w:rPr>
      </w:pPr>
      <w:r w:rsidRPr="00843606">
        <w:rPr>
          <w:sz w:val="24"/>
          <w:szCs w:val="24"/>
        </w:rPr>
        <w:t xml:space="preserve">2.4. </w:t>
      </w:r>
      <w:r w:rsidR="00E67F39" w:rsidRPr="00E67F39">
        <w:rPr>
          <w:color w:val="000000"/>
          <w:sz w:val="24"/>
          <w:shd w:val="clear" w:color="auto" w:fill="FFFFFF"/>
        </w:rPr>
        <w:t>Зберігач у строк, що не перевищує п</w:t>
      </w:r>
      <w:r w:rsidR="00E67F39">
        <w:rPr>
          <w:color w:val="000000"/>
          <w:sz w:val="24"/>
          <w:shd w:val="clear" w:color="auto" w:fill="FFFFFF"/>
        </w:rPr>
        <w:t>’</w:t>
      </w:r>
      <w:r w:rsidR="00E67F39" w:rsidRPr="00E67F39">
        <w:rPr>
          <w:color w:val="000000"/>
          <w:sz w:val="24"/>
          <w:shd w:val="clear" w:color="auto" w:fill="FFFFFF"/>
        </w:rPr>
        <w:t>яти робочих днів з дня отримання запиту, надає копії матеріалів попередньої технічної інвентаризації.</w:t>
      </w:r>
    </w:p>
    <w:p w:rsidR="009D06E7" w:rsidRPr="007F70EB" w:rsidRDefault="00843606" w:rsidP="00843606">
      <w:pPr>
        <w:ind w:firstLine="708"/>
        <w:jc w:val="both"/>
        <w:rPr>
          <w:sz w:val="24"/>
          <w:szCs w:val="24"/>
        </w:rPr>
      </w:pPr>
      <w:r w:rsidRPr="007F70EB">
        <w:rPr>
          <w:sz w:val="24"/>
          <w:szCs w:val="24"/>
        </w:rPr>
        <w:t xml:space="preserve"> </w:t>
      </w:r>
      <w:r w:rsidR="00E67F39" w:rsidRPr="007F70EB">
        <w:rPr>
          <w:sz w:val="24"/>
          <w:szCs w:val="24"/>
        </w:rPr>
        <w:t xml:space="preserve">2.5. </w:t>
      </w:r>
      <w:r w:rsidR="00E67F39" w:rsidRPr="007F70EB">
        <w:rPr>
          <w:color w:val="000000"/>
          <w:sz w:val="24"/>
          <w:szCs w:val="24"/>
          <w:shd w:val="clear" w:color="auto" w:fill="FFFFFF"/>
        </w:rPr>
        <w:t>У разі неможливості надати матеріали попередньої технічної інв</w:t>
      </w:r>
      <w:r w:rsidR="00FF1968">
        <w:rPr>
          <w:color w:val="000000"/>
          <w:sz w:val="24"/>
          <w:szCs w:val="24"/>
          <w:shd w:val="clear" w:color="auto" w:fill="FFFFFF"/>
        </w:rPr>
        <w:t>ентаризації зберігач протягом п’</w:t>
      </w:r>
      <w:r w:rsidR="00E67F39" w:rsidRPr="007F70EB">
        <w:rPr>
          <w:color w:val="000000"/>
          <w:sz w:val="24"/>
          <w:szCs w:val="24"/>
          <w:shd w:val="clear" w:color="auto" w:fill="FFFFFF"/>
        </w:rPr>
        <w:t>яти робочих днів з дня отримання запиту надає обґрунтовану відповідь із посиланням на причини або надає повідомлення про відсутність матеріалів</w:t>
      </w:r>
      <w:r w:rsidR="00B406F9">
        <w:rPr>
          <w:color w:val="000000"/>
          <w:sz w:val="24"/>
          <w:szCs w:val="24"/>
          <w:shd w:val="clear" w:color="auto" w:fill="FFFFFF"/>
        </w:rPr>
        <w:t xml:space="preserve"> технічної інвентаризації на об’</w:t>
      </w:r>
      <w:r w:rsidR="00E67F39" w:rsidRPr="007F70EB">
        <w:rPr>
          <w:color w:val="000000"/>
          <w:sz w:val="24"/>
          <w:szCs w:val="24"/>
          <w:shd w:val="clear" w:color="auto" w:fill="FFFFFF"/>
        </w:rPr>
        <w:t>єкт нерухомості за формою, наведеною у </w:t>
      </w:r>
      <w:r w:rsidR="00E67F39" w:rsidRPr="007F70EB">
        <w:rPr>
          <w:sz w:val="24"/>
          <w:szCs w:val="24"/>
          <w:shd w:val="clear" w:color="auto" w:fill="FFFFFF"/>
        </w:rPr>
        <w:t xml:space="preserve">додатку </w:t>
      </w:r>
      <w:r w:rsidR="000E505B">
        <w:rPr>
          <w:sz w:val="24"/>
          <w:szCs w:val="24"/>
          <w:shd w:val="clear" w:color="auto" w:fill="FFFFFF"/>
        </w:rPr>
        <w:t xml:space="preserve"> </w:t>
      </w:r>
      <w:r w:rsidR="00E67F39" w:rsidRPr="007F70EB">
        <w:rPr>
          <w:sz w:val="24"/>
          <w:szCs w:val="24"/>
          <w:shd w:val="clear" w:color="auto" w:fill="FFFFFF"/>
        </w:rPr>
        <w:t xml:space="preserve"> 2.</w:t>
      </w:r>
    </w:p>
    <w:p w:rsidR="00843606" w:rsidRDefault="00FA117B" w:rsidP="00843606">
      <w:pPr>
        <w:ind w:firstLine="708"/>
        <w:jc w:val="both"/>
        <w:rPr>
          <w:sz w:val="24"/>
          <w:szCs w:val="24"/>
        </w:rPr>
      </w:pPr>
      <w:r w:rsidRPr="007F70EB">
        <w:rPr>
          <w:sz w:val="24"/>
          <w:szCs w:val="24"/>
        </w:rPr>
        <w:t xml:space="preserve">2.6. </w:t>
      </w:r>
      <w:r w:rsidR="007F70EB">
        <w:rPr>
          <w:sz w:val="24"/>
          <w:szCs w:val="24"/>
        </w:rPr>
        <w:t xml:space="preserve"> </w:t>
      </w:r>
      <w:r w:rsidRPr="007F70EB">
        <w:rPr>
          <w:sz w:val="24"/>
          <w:szCs w:val="24"/>
        </w:rPr>
        <w:t>На вимогу запитува</w:t>
      </w:r>
      <w:r w:rsidR="00E67F39" w:rsidRPr="007F70EB">
        <w:rPr>
          <w:sz w:val="24"/>
          <w:szCs w:val="24"/>
        </w:rPr>
        <w:t>ча</w:t>
      </w:r>
      <w:r w:rsidR="00E67F39" w:rsidRPr="007F70EB">
        <w:rPr>
          <w:sz w:val="28"/>
          <w:szCs w:val="24"/>
        </w:rPr>
        <w:t xml:space="preserve"> </w:t>
      </w:r>
      <w:r w:rsidR="00E67F39">
        <w:rPr>
          <w:sz w:val="24"/>
          <w:szCs w:val="24"/>
        </w:rPr>
        <w:t>на першому аркуші копії</w:t>
      </w:r>
      <w:r w:rsidRPr="00FA117B">
        <w:rPr>
          <w:sz w:val="24"/>
          <w:szCs w:val="24"/>
        </w:rPr>
        <w:t xml:space="preserve"> (запиту) проставляється відбиток штампу органі</w:t>
      </w:r>
      <w:r w:rsidR="00E67F39">
        <w:rPr>
          <w:sz w:val="24"/>
          <w:szCs w:val="24"/>
        </w:rPr>
        <w:t>зації і дати надходження запиту</w:t>
      </w:r>
      <w:r w:rsidRPr="00FA117B">
        <w:rPr>
          <w:sz w:val="24"/>
          <w:szCs w:val="24"/>
        </w:rPr>
        <w:t>. Така копія повертається запитувачу.</w:t>
      </w:r>
      <w:r w:rsidR="00843606" w:rsidRPr="00843606">
        <w:rPr>
          <w:sz w:val="24"/>
          <w:szCs w:val="24"/>
        </w:rPr>
        <w:t xml:space="preserve"> </w:t>
      </w:r>
    </w:p>
    <w:p w:rsidR="0072179A" w:rsidRPr="00843606" w:rsidRDefault="0072179A" w:rsidP="00843606">
      <w:pPr>
        <w:ind w:firstLine="708"/>
        <w:jc w:val="both"/>
        <w:rPr>
          <w:sz w:val="24"/>
          <w:szCs w:val="24"/>
        </w:rPr>
      </w:pPr>
    </w:p>
    <w:p w:rsidR="00843606" w:rsidRPr="007F70EB" w:rsidRDefault="00843606" w:rsidP="0041087F">
      <w:pPr>
        <w:ind w:firstLine="708"/>
        <w:jc w:val="center"/>
        <w:rPr>
          <w:b/>
          <w:sz w:val="24"/>
          <w:szCs w:val="24"/>
        </w:rPr>
      </w:pPr>
      <w:r w:rsidRPr="007F70EB">
        <w:rPr>
          <w:b/>
          <w:sz w:val="24"/>
          <w:szCs w:val="24"/>
        </w:rPr>
        <w:t xml:space="preserve">3. Доступ </w:t>
      </w:r>
      <w:r w:rsidR="0072179A" w:rsidRPr="007F70EB">
        <w:rPr>
          <w:b/>
          <w:sz w:val="24"/>
          <w:szCs w:val="24"/>
        </w:rPr>
        <w:t xml:space="preserve"> </w:t>
      </w:r>
      <w:r w:rsidRPr="007F70EB">
        <w:rPr>
          <w:b/>
          <w:sz w:val="24"/>
          <w:szCs w:val="24"/>
        </w:rPr>
        <w:t>до матеріалів технічної інвентаризації,</w:t>
      </w:r>
      <w:r w:rsidR="0041087F" w:rsidRPr="007F70EB">
        <w:rPr>
          <w:b/>
          <w:sz w:val="24"/>
          <w:szCs w:val="24"/>
        </w:rPr>
        <w:t xml:space="preserve"> </w:t>
      </w:r>
      <w:r w:rsidRPr="007F70EB">
        <w:rPr>
          <w:b/>
          <w:sz w:val="24"/>
          <w:szCs w:val="24"/>
        </w:rPr>
        <w:t>реєстрових книг</w:t>
      </w:r>
      <w:r w:rsidR="0072179A" w:rsidRPr="007F70EB">
        <w:rPr>
          <w:b/>
          <w:sz w:val="24"/>
          <w:szCs w:val="24"/>
        </w:rPr>
        <w:t xml:space="preserve"> </w:t>
      </w:r>
      <w:r w:rsidRPr="007F70EB">
        <w:rPr>
          <w:b/>
          <w:sz w:val="24"/>
          <w:szCs w:val="24"/>
        </w:rPr>
        <w:t xml:space="preserve"> та архівних справ</w:t>
      </w:r>
    </w:p>
    <w:p w:rsidR="00843606" w:rsidRPr="00843606" w:rsidRDefault="00843606" w:rsidP="00843606">
      <w:pPr>
        <w:ind w:firstLine="708"/>
        <w:jc w:val="both"/>
        <w:rPr>
          <w:sz w:val="24"/>
          <w:szCs w:val="24"/>
        </w:rPr>
      </w:pPr>
      <w:r w:rsidRPr="00843606">
        <w:rPr>
          <w:sz w:val="24"/>
          <w:szCs w:val="24"/>
        </w:rPr>
        <w:t xml:space="preserve"> </w:t>
      </w:r>
    </w:p>
    <w:p w:rsidR="00843606" w:rsidRPr="00843606" w:rsidRDefault="00843606" w:rsidP="00843606">
      <w:pPr>
        <w:ind w:firstLine="708"/>
        <w:jc w:val="both"/>
        <w:rPr>
          <w:sz w:val="24"/>
          <w:szCs w:val="24"/>
        </w:rPr>
      </w:pPr>
      <w:r w:rsidRPr="00843606">
        <w:rPr>
          <w:sz w:val="24"/>
          <w:szCs w:val="24"/>
        </w:rPr>
        <w:t>3.1. Основною формою доступу до матеріалів технічної інвентаризації, реєстрових книг та архівних справ є довідкова інформація</w:t>
      </w:r>
      <w:r w:rsidR="009D06E7">
        <w:rPr>
          <w:sz w:val="24"/>
          <w:szCs w:val="24"/>
        </w:rPr>
        <w:t>,</w:t>
      </w:r>
      <w:r w:rsidRPr="00843606">
        <w:rPr>
          <w:sz w:val="24"/>
          <w:szCs w:val="24"/>
        </w:rPr>
        <w:t xml:space="preserve"> надана за заявами (запитами) </w:t>
      </w:r>
      <w:r w:rsidR="00FF1968">
        <w:rPr>
          <w:sz w:val="24"/>
          <w:szCs w:val="24"/>
        </w:rPr>
        <w:t>суб’єктами державної реєстрації речових прав на нерухоме майно (державних реєстраторів, нотаріусів)</w:t>
      </w:r>
      <w:r w:rsidRPr="00843606">
        <w:rPr>
          <w:sz w:val="24"/>
          <w:szCs w:val="24"/>
        </w:rPr>
        <w:t xml:space="preserve"> та заявників. </w:t>
      </w:r>
    </w:p>
    <w:p w:rsidR="00843606" w:rsidRPr="00843606" w:rsidRDefault="00843606" w:rsidP="00843606">
      <w:pPr>
        <w:ind w:firstLine="708"/>
        <w:jc w:val="both"/>
        <w:rPr>
          <w:sz w:val="24"/>
          <w:szCs w:val="24"/>
        </w:rPr>
      </w:pPr>
      <w:r w:rsidRPr="00843606">
        <w:rPr>
          <w:sz w:val="24"/>
          <w:szCs w:val="24"/>
        </w:rPr>
        <w:t xml:space="preserve">3.2. Ознайомлення з матеріалами технічної інвентаризації, реєстровими книгами, архівними справами державних реєстраторів та заявників здійснюється відповідальними особами </w:t>
      </w:r>
      <w:r w:rsidR="007F70EB">
        <w:rPr>
          <w:sz w:val="24"/>
          <w:szCs w:val="24"/>
        </w:rPr>
        <w:t>зберігача</w:t>
      </w:r>
      <w:r w:rsidRPr="00843606">
        <w:rPr>
          <w:sz w:val="24"/>
          <w:szCs w:val="24"/>
        </w:rPr>
        <w:t xml:space="preserve"> в межах запитуваної інформації. </w:t>
      </w:r>
    </w:p>
    <w:p w:rsidR="009D06E7" w:rsidRDefault="00843606" w:rsidP="00843606">
      <w:pPr>
        <w:ind w:firstLine="708"/>
        <w:jc w:val="both"/>
        <w:rPr>
          <w:sz w:val="24"/>
          <w:szCs w:val="24"/>
        </w:rPr>
      </w:pPr>
      <w:r w:rsidRPr="00843606">
        <w:rPr>
          <w:sz w:val="24"/>
          <w:szCs w:val="24"/>
        </w:rPr>
        <w:t>3.3.  Видавати матеріали технічної інвентаризації, реєстрові книги та архівні справ</w:t>
      </w:r>
      <w:r w:rsidR="007F70EB">
        <w:rPr>
          <w:sz w:val="24"/>
          <w:szCs w:val="24"/>
        </w:rPr>
        <w:t>и</w:t>
      </w:r>
      <w:r w:rsidRPr="00843606">
        <w:rPr>
          <w:sz w:val="24"/>
          <w:szCs w:val="24"/>
        </w:rPr>
        <w:t xml:space="preserve"> у тимчасове користування </w:t>
      </w:r>
      <w:r w:rsidR="00C95811">
        <w:rPr>
          <w:sz w:val="24"/>
          <w:szCs w:val="24"/>
        </w:rPr>
        <w:t>та/або за межі архіву зберігача</w:t>
      </w:r>
      <w:r w:rsidRPr="00843606">
        <w:rPr>
          <w:sz w:val="24"/>
          <w:szCs w:val="24"/>
        </w:rPr>
        <w:t xml:space="preserve"> забороняється.</w:t>
      </w:r>
      <w:r w:rsidR="00FA117B" w:rsidRPr="00FA117B">
        <w:t xml:space="preserve"> </w:t>
      </w:r>
      <w:r w:rsidR="00FA117B" w:rsidRPr="00FA117B">
        <w:rPr>
          <w:sz w:val="24"/>
          <w:szCs w:val="24"/>
        </w:rPr>
        <w:t>Запитувачам видаються тільки ті довідки з архівних документів, що належать до теми дослідження.</w:t>
      </w:r>
    </w:p>
    <w:p w:rsidR="00843606" w:rsidRPr="00843606" w:rsidRDefault="00FA117B" w:rsidP="009D06E7">
      <w:pPr>
        <w:ind w:firstLine="708"/>
        <w:jc w:val="both"/>
        <w:rPr>
          <w:sz w:val="24"/>
          <w:szCs w:val="24"/>
        </w:rPr>
      </w:pPr>
      <w:r>
        <w:rPr>
          <w:sz w:val="24"/>
          <w:szCs w:val="24"/>
        </w:rPr>
        <w:t>3.4.</w:t>
      </w:r>
      <w:r w:rsidR="009D06E7">
        <w:rPr>
          <w:sz w:val="24"/>
          <w:szCs w:val="24"/>
        </w:rPr>
        <w:t xml:space="preserve"> </w:t>
      </w:r>
      <w:r>
        <w:rPr>
          <w:sz w:val="24"/>
          <w:szCs w:val="24"/>
        </w:rPr>
        <w:t xml:space="preserve">Надання </w:t>
      </w:r>
      <w:r w:rsidR="00D741D3">
        <w:rPr>
          <w:sz w:val="24"/>
          <w:szCs w:val="24"/>
        </w:rPr>
        <w:t xml:space="preserve">копій </w:t>
      </w:r>
      <w:r>
        <w:rPr>
          <w:sz w:val="24"/>
          <w:szCs w:val="24"/>
        </w:rPr>
        <w:t>інформації з матеріалів технічної інвентаризації, реєстрових книг та архівних справ фізичним</w:t>
      </w:r>
      <w:r w:rsidR="009D06E7">
        <w:rPr>
          <w:sz w:val="24"/>
          <w:szCs w:val="24"/>
        </w:rPr>
        <w:t xml:space="preserve"> та юридичним особам</w:t>
      </w:r>
      <w:r w:rsidR="009D06E7" w:rsidRPr="009D06E7">
        <w:t xml:space="preserve"> </w:t>
      </w:r>
      <w:r w:rsidR="009D06E7" w:rsidRPr="009D06E7">
        <w:rPr>
          <w:sz w:val="24"/>
          <w:szCs w:val="24"/>
        </w:rPr>
        <w:t xml:space="preserve">здійснюється за рахунок </w:t>
      </w:r>
      <w:r w:rsidR="00D741D3">
        <w:rPr>
          <w:sz w:val="24"/>
          <w:szCs w:val="24"/>
        </w:rPr>
        <w:t>заявника (</w:t>
      </w:r>
      <w:r w:rsidR="009D06E7" w:rsidRPr="009D06E7">
        <w:rPr>
          <w:sz w:val="24"/>
          <w:szCs w:val="24"/>
        </w:rPr>
        <w:t>запитувача</w:t>
      </w:r>
      <w:r w:rsidR="00D741D3">
        <w:rPr>
          <w:sz w:val="24"/>
          <w:szCs w:val="24"/>
        </w:rPr>
        <w:t>)</w:t>
      </w:r>
      <w:r w:rsidR="00FF1968">
        <w:rPr>
          <w:sz w:val="24"/>
          <w:szCs w:val="24"/>
        </w:rPr>
        <w:t>/суб’єкта господарювання.</w:t>
      </w:r>
      <w:r w:rsidR="009D06E7">
        <w:rPr>
          <w:sz w:val="24"/>
          <w:szCs w:val="24"/>
        </w:rPr>
        <w:t xml:space="preserve"> Розмір </w:t>
      </w:r>
      <w:r w:rsidR="00F813F8">
        <w:rPr>
          <w:sz w:val="24"/>
          <w:szCs w:val="24"/>
        </w:rPr>
        <w:t>адміністративного збору</w:t>
      </w:r>
      <w:r w:rsidR="009D06E7">
        <w:rPr>
          <w:sz w:val="24"/>
          <w:szCs w:val="24"/>
        </w:rPr>
        <w:t xml:space="preserve"> встановлюється згідно калькуляції, підготовленої </w:t>
      </w:r>
      <w:r w:rsidR="007F70EB">
        <w:rPr>
          <w:sz w:val="24"/>
          <w:szCs w:val="24"/>
        </w:rPr>
        <w:t>зберігачем</w:t>
      </w:r>
      <w:r w:rsidR="0075165F">
        <w:rPr>
          <w:sz w:val="24"/>
          <w:szCs w:val="24"/>
        </w:rPr>
        <w:t>.</w:t>
      </w:r>
      <w:r w:rsidR="009D06E7" w:rsidRPr="009D06E7">
        <w:rPr>
          <w:sz w:val="24"/>
          <w:szCs w:val="24"/>
        </w:rPr>
        <w:t xml:space="preserve"> Копії засвідчуються підписом </w:t>
      </w:r>
      <w:r w:rsidR="00D741D3">
        <w:rPr>
          <w:sz w:val="24"/>
          <w:szCs w:val="24"/>
        </w:rPr>
        <w:t>відповідальної посадової особи зберігача та печаткою.</w:t>
      </w:r>
    </w:p>
    <w:p w:rsidR="009D06E7" w:rsidRPr="00843606" w:rsidRDefault="009D06E7" w:rsidP="009D06E7">
      <w:pPr>
        <w:ind w:firstLine="708"/>
        <w:jc w:val="both"/>
        <w:rPr>
          <w:sz w:val="24"/>
          <w:szCs w:val="24"/>
        </w:rPr>
      </w:pPr>
      <w:r>
        <w:rPr>
          <w:sz w:val="24"/>
          <w:szCs w:val="24"/>
        </w:rPr>
        <w:t>3.5</w:t>
      </w:r>
      <w:r w:rsidR="00843606" w:rsidRPr="00843606">
        <w:rPr>
          <w:sz w:val="24"/>
          <w:szCs w:val="24"/>
        </w:rPr>
        <w:t>. Копіювання документів тех</w:t>
      </w:r>
      <w:r w:rsidR="00D741D3">
        <w:rPr>
          <w:sz w:val="24"/>
          <w:szCs w:val="24"/>
        </w:rPr>
        <w:t xml:space="preserve">нічної інвентаризації, в разі надходження запиту на отримання публічної інформації, </w:t>
      </w:r>
      <w:r w:rsidR="00843606" w:rsidRPr="00843606">
        <w:rPr>
          <w:sz w:val="24"/>
          <w:szCs w:val="24"/>
        </w:rPr>
        <w:t>здійснюється за рахунок запитувача згідно із статтею 21 Закону України «Про доступ до публічної інформації».</w:t>
      </w:r>
    </w:p>
    <w:p w:rsidR="00843606" w:rsidRPr="00843606" w:rsidRDefault="009D06E7" w:rsidP="00843606">
      <w:pPr>
        <w:ind w:firstLine="708"/>
        <w:jc w:val="both"/>
        <w:rPr>
          <w:sz w:val="24"/>
          <w:szCs w:val="24"/>
        </w:rPr>
      </w:pPr>
      <w:r>
        <w:rPr>
          <w:sz w:val="24"/>
          <w:szCs w:val="24"/>
        </w:rPr>
        <w:t>3.6</w:t>
      </w:r>
      <w:r w:rsidR="00843606" w:rsidRPr="00843606">
        <w:rPr>
          <w:sz w:val="24"/>
          <w:szCs w:val="24"/>
        </w:rPr>
        <w:t xml:space="preserve">. Доступ до матеріалів технічної інвентаризації, які надійшли до </w:t>
      </w:r>
      <w:r w:rsidR="007F70EB">
        <w:rPr>
          <w:sz w:val="24"/>
          <w:szCs w:val="24"/>
        </w:rPr>
        <w:t>зберігача</w:t>
      </w:r>
      <w:r w:rsidR="00843606" w:rsidRPr="00843606">
        <w:rPr>
          <w:sz w:val="24"/>
          <w:szCs w:val="24"/>
        </w:rPr>
        <w:t xml:space="preserve"> від суб’єктів господарювання, проводиться після їх перевірки та долучення до інвентаризаційної справи.</w:t>
      </w:r>
    </w:p>
    <w:p w:rsidR="0005541D" w:rsidRDefault="007F70EB" w:rsidP="0005541D">
      <w:pPr>
        <w:pStyle w:val="rvps2"/>
        <w:shd w:val="clear" w:color="auto" w:fill="FFFFFF"/>
        <w:spacing w:before="0" w:beforeAutospacing="0" w:after="0" w:afterAutospacing="0"/>
        <w:ind w:firstLine="709"/>
        <w:jc w:val="both"/>
        <w:rPr>
          <w:color w:val="000000"/>
          <w:lang w:val="uk-UA"/>
        </w:rPr>
      </w:pPr>
      <w:r>
        <w:rPr>
          <w:color w:val="000000"/>
          <w:lang w:val="uk-UA"/>
        </w:rPr>
        <w:t xml:space="preserve">3.7. </w:t>
      </w:r>
      <w:r w:rsidRPr="007F70EB">
        <w:rPr>
          <w:color w:val="000000"/>
          <w:lang w:val="uk-UA"/>
        </w:rPr>
        <w:t>Після проведен</w:t>
      </w:r>
      <w:r>
        <w:rPr>
          <w:color w:val="000000"/>
          <w:lang w:val="uk-UA"/>
        </w:rPr>
        <w:t>ня технічної інвентаризації суб’</w:t>
      </w:r>
      <w:r w:rsidRPr="007F70EB">
        <w:rPr>
          <w:color w:val="000000"/>
          <w:lang w:val="uk-UA"/>
        </w:rPr>
        <w:t>єкт господарювання, що її проводив, протягом тридцяти календарних днів передає матеріали технічної інвентаризації до зберігача, про що на другому екземплярі матеріалів технічної інвента</w:t>
      </w:r>
      <w:r>
        <w:rPr>
          <w:color w:val="000000"/>
          <w:lang w:val="uk-UA"/>
        </w:rPr>
        <w:t>ризації, які зберігаються у суб’</w:t>
      </w:r>
      <w:r w:rsidRPr="007F70EB">
        <w:rPr>
          <w:color w:val="000000"/>
          <w:lang w:val="uk-UA"/>
        </w:rPr>
        <w:t>єкта господарювання, проставляються відповідна відмітка та підпис уповноваженої особи зберігача.</w:t>
      </w:r>
      <w:bookmarkStart w:id="3" w:name="n212"/>
      <w:bookmarkEnd w:id="3"/>
    </w:p>
    <w:p w:rsidR="007F70EB" w:rsidRPr="0005541D" w:rsidRDefault="007F70EB" w:rsidP="0005541D">
      <w:pPr>
        <w:pStyle w:val="rvps2"/>
        <w:shd w:val="clear" w:color="auto" w:fill="FFFFFF"/>
        <w:spacing w:before="0" w:beforeAutospacing="0" w:after="0" w:afterAutospacing="0"/>
        <w:ind w:firstLine="709"/>
        <w:jc w:val="both"/>
        <w:rPr>
          <w:color w:val="000000"/>
          <w:lang w:val="uk-UA"/>
        </w:rPr>
      </w:pPr>
      <w:r w:rsidRPr="0005541D">
        <w:rPr>
          <w:color w:val="000000"/>
          <w:lang w:val="uk-UA"/>
        </w:rPr>
        <w:t>Інформація, яка міститься в технічних паспортах, має відповідати матеріалам технічної інвентаризації.</w:t>
      </w:r>
    </w:p>
    <w:p w:rsidR="007F70EB" w:rsidRPr="0005541D" w:rsidRDefault="007F70EB" w:rsidP="0005541D">
      <w:pPr>
        <w:pStyle w:val="rvps2"/>
        <w:shd w:val="clear" w:color="auto" w:fill="FFFFFF"/>
        <w:spacing w:before="0" w:beforeAutospacing="0" w:after="0" w:afterAutospacing="0"/>
        <w:ind w:firstLine="709"/>
        <w:jc w:val="both"/>
        <w:rPr>
          <w:color w:val="000000"/>
          <w:lang w:val="uk-UA"/>
        </w:rPr>
      </w:pPr>
      <w:bookmarkStart w:id="4" w:name="n213"/>
      <w:bookmarkEnd w:id="4"/>
      <w:r w:rsidRPr="0005541D">
        <w:rPr>
          <w:color w:val="000000"/>
          <w:lang w:val="uk-UA"/>
        </w:rPr>
        <w:t>Матеріали технічної інвентаризації, що передаються, мають містити опис, бути прошнуровані, пронумеровані та с</w:t>
      </w:r>
      <w:r w:rsidR="00C95811">
        <w:rPr>
          <w:color w:val="000000"/>
          <w:lang w:val="uk-UA"/>
        </w:rPr>
        <w:t>кріплені підписом керівника суб’</w:t>
      </w:r>
      <w:r w:rsidRPr="0005541D">
        <w:rPr>
          <w:color w:val="000000"/>
          <w:lang w:val="uk-UA"/>
        </w:rPr>
        <w:t>єкта господарювання, який проводив інвентаризацію (для юридичних осіб), а також підписом виконавця робіт із зазначенням серії та номера кваліфікаційного сертифіката.</w:t>
      </w:r>
    </w:p>
    <w:p w:rsidR="007F70EB" w:rsidRDefault="007F70EB" w:rsidP="0005541D">
      <w:pPr>
        <w:pStyle w:val="rvps2"/>
        <w:shd w:val="clear" w:color="auto" w:fill="FFFFFF"/>
        <w:spacing w:before="0" w:beforeAutospacing="0" w:after="0" w:afterAutospacing="0"/>
        <w:ind w:firstLine="709"/>
        <w:jc w:val="both"/>
        <w:rPr>
          <w:color w:val="000000"/>
          <w:lang w:val="uk-UA"/>
        </w:rPr>
      </w:pPr>
      <w:bookmarkStart w:id="5" w:name="n214"/>
      <w:bookmarkEnd w:id="5"/>
      <w:r w:rsidRPr="0005541D">
        <w:rPr>
          <w:color w:val="000000"/>
          <w:lang w:val="uk-UA"/>
        </w:rPr>
        <w:lastRenderedPageBreak/>
        <w:t>Якщо за результатами проведення технічної інвен</w:t>
      </w:r>
      <w:r w:rsidR="0005541D">
        <w:rPr>
          <w:color w:val="000000"/>
          <w:lang w:val="uk-UA"/>
        </w:rPr>
        <w:t>таризації встановлено, що на об’</w:t>
      </w:r>
      <w:r w:rsidRPr="0005541D">
        <w:rPr>
          <w:color w:val="000000"/>
          <w:lang w:val="uk-UA"/>
        </w:rPr>
        <w:t xml:space="preserve">єкті нерухомого майна відсутні зміни порівняно з матеріалами технічної інвентаризації, що зберігаються </w:t>
      </w:r>
      <w:r w:rsidR="0005541D">
        <w:rPr>
          <w:color w:val="000000"/>
          <w:lang w:val="uk-UA"/>
        </w:rPr>
        <w:t>в інвентаризаційній справі, суб’</w:t>
      </w:r>
      <w:r w:rsidRPr="0005541D">
        <w:rPr>
          <w:color w:val="000000"/>
          <w:lang w:val="uk-UA"/>
        </w:rPr>
        <w:t>єкт господарювання, що проводив техн</w:t>
      </w:r>
      <w:r w:rsidR="0005541D">
        <w:rPr>
          <w:color w:val="000000"/>
          <w:lang w:val="uk-UA"/>
        </w:rPr>
        <w:t>ічну інвентаризацію, протягом п’</w:t>
      </w:r>
      <w:r w:rsidRPr="0005541D">
        <w:rPr>
          <w:color w:val="000000"/>
          <w:lang w:val="uk-UA"/>
        </w:rPr>
        <w:t>яти календарних днів передає до зберігача повідомлення про результа</w:t>
      </w:r>
      <w:r w:rsidR="0005541D">
        <w:rPr>
          <w:color w:val="000000"/>
          <w:lang w:val="uk-UA"/>
        </w:rPr>
        <w:t>ти огляду об’</w:t>
      </w:r>
      <w:r w:rsidRPr="0005541D">
        <w:rPr>
          <w:color w:val="000000"/>
          <w:lang w:val="uk-UA"/>
        </w:rPr>
        <w:t>єкта нерухомого майна (додаток 18</w:t>
      </w:r>
      <w:r w:rsidR="0005541D">
        <w:rPr>
          <w:color w:val="000000"/>
          <w:lang w:val="uk-UA"/>
        </w:rPr>
        <w:t xml:space="preserve"> </w:t>
      </w:r>
      <w:r w:rsidR="0005541D" w:rsidRPr="0005541D">
        <w:rPr>
          <w:lang w:val="uk-UA"/>
        </w:rPr>
        <w:t xml:space="preserve">Інструкції про порядок  проведення технічної інвентаризації об’єктів нерухомого майна, затвердженої наказом Державного комітету архітектури та житлової політики </w:t>
      </w:r>
      <w:r w:rsidR="0005541D">
        <w:rPr>
          <w:lang w:val="uk-UA"/>
        </w:rPr>
        <w:t xml:space="preserve">України від 24 травня 2001 року </w:t>
      </w:r>
      <w:r w:rsidR="0005541D" w:rsidRPr="0005541D">
        <w:rPr>
          <w:lang w:val="uk-UA"/>
        </w:rPr>
        <w:t>№ 127 (в редакції Наказу Міністерства регіонального розвитку, будівництва та житлово-комунального господарства України від 26.07.2018 № 186)</w:t>
      </w:r>
      <w:r w:rsidRPr="0005541D">
        <w:rPr>
          <w:color w:val="000000"/>
          <w:lang w:val="uk-UA"/>
        </w:rPr>
        <w:t xml:space="preserve"> з інформацією про відсутність змін та дату проведення технічної інвентар</w:t>
      </w:r>
      <w:r w:rsidR="0005541D">
        <w:rPr>
          <w:color w:val="000000"/>
          <w:lang w:val="uk-UA"/>
        </w:rPr>
        <w:t>изації з підписом керівника суб’</w:t>
      </w:r>
      <w:r w:rsidRPr="0005541D">
        <w:rPr>
          <w:color w:val="000000"/>
          <w:lang w:val="uk-UA"/>
        </w:rPr>
        <w:t>єкта господарювання, який проводив технічну інвентаризацію (для юридичних осіб), а також підписом виконавця робіт із зазначенням серії та номера кваліфікаційного сертифіката.</w:t>
      </w:r>
    </w:p>
    <w:p w:rsidR="00A260CF" w:rsidRDefault="00A260CF" w:rsidP="0005541D">
      <w:pPr>
        <w:pStyle w:val="rvps2"/>
        <w:shd w:val="clear" w:color="auto" w:fill="FFFFFF"/>
        <w:spacing w:before="0" w:beforeAutospacing="0" w:after="0" w:afterAutospacing="0"/>
        <w:ind w:firstLine="709"/>
        <w:jc w:val="both"/>
        <w:rPr>
          <w:color w:val="000000"/>
          <w:lang w:val="uk-UA"/>
        </w:rPr>
      </w:pPr>
    </w:p>
    <w:p w:rsidR="00A260CF" w:rsidRDefault="00A260CF" w:rsidP="00A260CF">
      <w:pPr>
        <w:pStyle w:val="rvps2"/>
        <w:shd w:val="clear" w:color="auto" w:fill="FFFFFF"/>
        <w:spacing w:before="0" w:beforeAutospacing="0" w:after="0" w:afterAutospacing="0"/>
        <w:ind w:firstLine="709"/>
        <w:jc w:val="center"/>
        <w:rPr>
          <w:b/>
          <w:color w:val="000000"/>
          <w:lang w:val="uk-UA"/>
        </w:rPr>
      </w:pPr>
      <w:r w:rsidRPr="00A260CF">
        <w:rPr>
          <w:b/>
          <w:color w:val="000000"/>
          <w:lang w:val="uk-UA"/>
        </w:rPr>
        <w:t>4. Облік справ</w:t>
      </w:r>
    </w:p>
    <w:p w:rsidR="00A260CF" w:rsidRDefault="00A260CF" w:rsidP="00A260CF">
      <w:pPr>
        <w:pStyle w:val="rvps2"/>
        <w:shd w:val="clear" w:color="auto" w:fill="FFFFFF"/>
        <w:spacing w:before="0" w:beforeAutospacing="0" w:after="0" w:afterAutospacing="0"/>
        <w:ind w:firstLine="709"/>
        <w:jc w:val="center"/>
        <w:rPr>
          <w:b/>
          <w:color w:val="000000"/>
          <w:lang w:val="uk-UA"/>
        </w:rPr>
      </w:pPr>
    </w:p>
    <w:p w:rsidR="00A260CF" w:rsidRPr="00A260CF" w:rsidRDefault="00A260CF" w:rsidP="00A260CF">
      <w:pPr>
        <w:pStyle w:val="rvps2"/>
        <w:shd w:val="clear" w:color="auto" w:fill="FFFFFF"/>
        <w:spacing w:before="0" w:beforeAutospacing="0" w:after="0" w:afterAutospacing="0"/>
        <w:ind w:firstLine="450"/>
        <w:jc w:val="both"/>
        <w:rPr>
          <w:color w:val="000000"/>
          <w:lang w:val="uk-UA"/>
        </w:rPr>
      </w:pPr>
      <w:r w:rsidRPr="00A260CF">
        <w:rPr>
          <w:color w:val="000000"/>
          <w:lang w:val="uk-UA"/>
        </w:rPr>
        <w:t>4.1. Інвентаризаційна справа фо</w:t>
      </w:r>
      <w:r>
        <w:rPr>
          <w:color w:val="000000"/>
          <w:lang w:val="uk-UA"/>
        </w:rPr>
        <w:t>рмується і ведеться на кожен об’</w:t>
      </w:r>
      <w:r w:rsidRPr="00A260CF">
        <w:rPr>
          <w:color w:val="000000"/>
          <w:lang w:val="uk-UA"/>
        </w:rPr>
        <w:t>єкт нерухомого майна на весь час його існування та зберігається у зберігача за місце</w:t>
      </w:r>
      <w:r>
        <w:rPr>
          <w:color w:val="000000"/>
          <w:lang w:val="uk-UA"/>
        </w:rPr>
        <w:t>знаходженням (адреса) такого об’</w:t>
      </w:r>
      <w:r w:rsidRPr="00A260CF">
        <w:rPr>
          <w:color w:val="000000"/>
          <w:lang w:val="uk-UA"/>
        </w:rPr>
        <w:t>єкта у паперовому вигляді.</w:t>
      </w:r>
    </w:p>
    <w:p w:rsidR="00A260CF" w:rsidRPr="00FF1968" w:rsidRDefault="00A260CF" w:rsidP="00A80415">
      <w:pPr>
        <w:pStyle w:val="rvps2"/>
        <w:shd w:val="clear" w:color="auto" w:fill="FFFFFF"/>
        <w:spacing w:before="0" w:beforeAutospacing="0" w:after="0" w:afterAutospacing="0"/>
        <w:ind w:firstLine="450"/>
        <w:jc w:val="both"/>
        <w:rPr>
          <w:color w:val="000000"/>
          <w:lang w:val="uk-UA"/>
        </w:rPr>
      </w:pPr>
      <w:bookmarkStart w:id="6" w:name="n205"/>
      <w:bookmarkEnd w:id="6"/>
      <w:r w:rsidRPr="00A260CF">
        <w:rPr>
          <w:color w:val="000000"/>
          <w:lang w:val="uk-UA"/>
        </w:rPr>
        <w:t>4.2. У разі ліквідації, реорганізації, зміни виду діяльності, припинення дії к</w:t>
      </w:r>
      <w:r>
        <w:rPr>
          <w:color w:val="000000"/>
          <w:lang w:val="uk-UA"/>
        </w:rPr>
        <w:t>валіфікаційного сертифіката суб’</w:t>
      </w:r>
      <w:r w:rsidRPr="00A260CF">
        <w:rPr>
          <w:color w:val="000000"/>
          <w:lang w:val="uk-UA"/>
        </w:rPr>
        <w:t>єкт господарювання передає матеріали технічної інвентаризації нерухомого майна до зберігача.</w:t>
      </w:r>
    </w:p>
    <w:p w:rsidR="0005541D" w:rsidRPr="00FF1968" w:rsidRDefault="0005541D" w:rsidP="0005541D">
      <w:pPr>
        <w:pStyle w:val="rvps2"/>
        <w:shd w:val="clear" w:color="auto" w:fill="FFFFFF"/>
        <w:spacing w:before="0" w:beforeAutospacing="0" w:after="0" w:afterAutospacing="0"/>
        <w:ind w:firstLine="450"/>
        <w:jc w:val="both"/>
        <w:rPr>
          <w:color w:val="000000"/>
          <w:lang w:val="uk-UA"/>
        </w:rPr>
      </w:pPr>
    </w:p>
    <w:p w:rsidR="009D06E7" w:rsidRPr="0005541D" w:rsidRDefault="00A260CF" w:rsidP="009D06E7">
      <w:pPr>
        <w:ind w:firstLine="708"/>
        <w:jc w:val="center"/>
        <w:rPr>
          <w:b/>
          <w:sz w:val="24"/>
          <w:szCs w:val="24"/>
        </w:rPr>
      </w:pPr>
      <w:r>
        <w:rPr>
          <w:b/>
          <w:sz w:val="24"/>
          <w:szCs w:val="24"/>
        </w:rPr>
        <w:t>5</w:t>
      </w:r>
      <w:r w:rsidR="009D06E7" w:rsidRPr="0005541D">
        <w:rPr>
          <w:b/>
          <w:sz w:val="24"/>
          <w:szCs w:val="24"/>
        </w:rPr>
        <w:t>. Відповідальність</w:t>
      </w:r>
    </w:p>
    <w:p w:rsidR="009D06E7" w:rsidRPr="009D06E7" w:rsidRDefault="009D06E7" w:rsidP="009D06E7">
      <w:pPr>
        <w:ind w:firstLine="708"/>
        <w:jc w:val="both"/>
        <w:rPr>
          <w:sz w:val="24"/>
          <w:szCs w:val="24"/>
        </w:rPr>
      </w:pPr>
    </w:p>
    <w:p w:rsidR="00843606" w:rsidRDefault="00A260CF" w:rsidP="009D06E7">
      <w:pPr>
        <w:ind w:firstLine="708"/>
        <w:jc w:val="both"/>
        <w:rPr>
          <w:sz w:val="24"/>
          <w:szCs w:val="24"/>
        </w:rPr>
      </w:pPr>
      <w:r>
        <w:rPr>
          <w:sz w:val="24"/>
          <w:szCs w:val="24"/>
        </w:rPr>
        <w:t>5</w:t>
      </w:r>
      <w:r w:rsidR="009D06E7" w:rsidRPr="009D06E7">
        <w:rPr>
          <w:sz w:val="24"/>
          <w:szCs w:val="24"/>
        </w:rPr>
        <w:t>.1. Відповідальність за складання заяви (запиту), повноту та недоторканність інформації у ній (нь</w:t>
      </w:r>
      <w:r w:rsidR="0005541D">
        <w:rPr>
          <w:sz w:val="24"/>
          <w:szCs w:val="24"/>
        </w:rPr>
        <w:t>ому) покладається на запитувача та суб’єкта господарювання.</w:t>
      </w:r>
    </w:p>
    <w:p w:rsidR="0005541D" w:rsidRDefault="00A260CF" w:rsidP="009D06E7">
      <w:pPr>
        <w:ind w:firstLine="708"/>
        <w:jc w:val="both"/>
        <w:rPr>
          <w:sz w:val="24"/>
          <w:szCs w:val="24"/>
        </w:rPr>
      </w:pPr>
      <w:r>
        <w:rPr>
          <w:sz w:val="24"/>
          <w:szCs w:val="24"/>
        </w:rPr>
        <w:t>5</w:t>
      </w:r>
      <w:r w:rsidR="0005541D">
        <w:rPr>
          <w:sz w:val="24"/>
          <w:szCs w:val="24"/>
        </w:rPr>
        <w:t xml:space="preserve">.2. Відповідальні особи зберігача, винні у порушенні цього Порядку несуть дисциплінарну відповідальність відповідно чинного законодавства України.  </w:t>
      </w:r>
    </w:p>
    <w:p w:rsidR="009D06E7" w:rsidRPr="00843606" w:rsidRDefault="009D06E7" w:rsidP="00843606">
      <w:pPr>
        <w:ind w:firstLine="708"/>
        <w:jc w:val="both"/>
        <w:rPr>
          <w:sz w:val="24"/>
          <w:szCs w:val="24"/>
        </w:rPr>
      </w:pPr>
    </w:p>
    <w:p w:rsidR="008C78BA" w:rsidRPr="00CC778C" w:rsidRDefault="008C78BA" w:rsidP="00427305">
      <w:pPr>
        <w:ind w:firstLine="708"/>
        <w:jc w:val="both"/>
        <w:rPr>
          <w:bCs/>
          <w:sz w:val="24"/>
          <w:szCs w:val="24"/>
        </w:rPr>
      </w:pPr>
    </w:p>
    <w:p w:rsidR="0072179A" w:rsidRDefault="0072179A" w:rsidP="009D06E7">
      <w:pPr>
        <w:jc w:val="both"/>
        <w:rPr>
          <w:bCs/>
          <w:sz w:val="24"/>
          <w:szCs w:val="24"/>
        </w:rPr>
      </w:pPr>
    </w:p>
    <w:p w:rsidR="006E7B02" w:rsidRPr="0005541D" w:rsidRDefault="00E147BB" w:rsidP="00E147BB">
      <w:pPr>
        <w:pStyle w:val="a3"/>
        <w:tabs>
          <w:tab w:val="center" w:pos="5031"/>
        </w:tabs>
        <w:ind w:firstLine="709"/>
        <w:rPr>
          <w:szCs w:val="20"/>
        </w:rPr>
      </w:pPr>
      <w:r w:rsidRPr="0005541D">
        <w:rPr>
          <w:szCs w:val="20"/>
        </w:rPr>
        <w:t>Міський голова</w:t>
      </w:r>
      <w:r w:rsidRPr="0005541D">
        <w:rPr>
          <w:szCs w:val="20"/>
        </w:rPr>
        <w:tab/>
        <w:t xml:space="preserve">                                  </w:t>
      </w:r>
      <w:r w:rsidR="0005541D">
        <w:rPr>
          <w:szCs w:val="20"/>
        </w:rPr>
        <w:tab/>
        <w:t xml:space="preserve">          </w:t>
      </w:r>
      <w:r w:rsidRPr="0005541D">
        <w:rPr>
          <w:szCs w:val="20"/>
        </w:rPr>
        <w:t>Ю.І. Онищенко</w:t>
      </w:r>
    </w:p>
    <w:p w:rsidR="006E7B02" w:rsidRDefault="006E7B02" w:rsidP="00F15CEF">
      <w:pPr>
        <w:pStyle w:val="a3"/>
        <w:ind w:firstLine="0"/>
        <w:rPr>
          <w:sz w:val="20"/>
          <w:szCs w:val="20"/>
        </w:rPr>
      </w:pPr>
    </w:p>
    <w:p w:rsidR="009D06E7" w:rsidRDefault="009D06E7" w:rsidP="00F15CEF">
      <w:pPr>
        <w:pStyle w:val="a3"/>
        <w:ind w:firstLine="0"/>
        <w:rPr>
          <w:sz w:val="20"/>
          <w:szCs w:val="20"/>
        </w:rPr>
      </w:pPr>
    </w:p>
    <w:p w:rsidR="009D06E7" w:rsidRDefault="009D06E7" w:rsidP="00F15CEF">
      <w:pPr>
        <w:pStyle w:val="a3"/>
        <w:ind w:firstLine="0"/>
        <w:rPr>
          <w:sz w:val="20"/>
          <w:szCs w:val="20"/>
        </w:rPr>
      </w:pPr>
    </w:p>
    <w:p w:rsidR="00924FC7" w:rsidRDefault="00924FC7" w:rsidP="00F15CEF">
      <w:pPr>
        <w:pStyle w:val="a3"/>
        <w:ind w:firstLine="0"/>
        <w:rPr>
          <w:sz w:val="20"/>
          <w:szCs w:val="20"/>
        </w:rPr>
      </w:pPr>
    </w:p>
    <w:p w:rsidR="00924FC7" w:rsidRPr="00924FC7" w:rsidRDefault="00924FC7" w:rsidP="00924FC7"/>
    <w:p w:rsidR="00924FC7" w:rsidRPr="00924FC7" w:rsidRDefault="00924FC7" w:rsidP="00924FC7"/>
    <w:p w:rsidR="00924FC7" w:rsidRPr="00924FC7" w:rsidRDefault="00924FC7" w:rsidP="00924FC7"/>
    <w:p w:rsidR="00924FC7" w:rsidRPr="00924FC7" w:rsidRDefault="00924FC7" w:rsidP="00924FC7"/>
    <w:p w:rsidR="00924FC7" w:rsidRPr="00924FC7" w:rsidRDefault="00924FC7" w:rsidP="00924FC7"/>
    <w:p w:rsidR="00924FC7" w:rsidRPr="00924FC7" w:rsidRDefault="00924FC7" w:rsidP="00924FC7"/>
    <w:p w:rsidR="00924FC7" w:rsidRPr="00924FC7" w:rsidRDefault="00924FC7" w:rsidP="00924FC7"/>
    <w:p w:rsidR="00924FC7" w:rsidRPr="00924FC7" w:rsidRDefault="00924FC7" w:rsidP="00924FC7"/>
    <w:p w:rsidR="00924FC7" w:rsidRPr="00924FC7" w:rsidRDefault="00924FC7" w:rsidP="00924FC7"/>
    <w:p w:rsidR="00924FC7" w:rsidRPr="00924FC7" w:rsidRDefault="00924FC7" w:rsidP="00924FC7"/>
    <w:p w:rsidR="00924FC7" w:rsidRPr="00924FC7" w:rsidRDefault="00924FC7" w:rsidP="00924FC7"/>
    <w:p w:rsidR="00924FC7" w:rsidRPr="00924FC7" w:rsidRDefault="00924FC7" w:rsidP="00924FC7"/>
    <w:p w:rsidR="00924FC7" w:rsidRPr="00924FC7" w:rsidRDefault="00924FC7" w:rsidP="00924FC7"/>
    <w:p w:rsidR="00924FC7" w:rsidRPr="00924FC7" w:rsidRDefault="00924FC7" w:rsidP="00924FC7"/>
    <w:p w:rsidR="00924FC7" w:rsidRPr="00924FC7" w:rsidRDefault="00924FC7" w:rsidP="00924FC7"/>
    <w:p w:rsidR="00924FC7" w:rsidRDefault="00924FC7" w:rsidP="00924FC7"/>
    <w:p w:rsidR="00924FC7" w:rsidRDefault="00924FC7" w:rsidP="00924FC7"/>
    <w:p w:rsidR="006E7B02" w:rsidRDefault="00924FC7" w:rsidP="00924FC7">
      <w:pPr>
        <w:tabs>
          <w:tab w:val="left" w:pos="6360"/>
        </w:tabs>
      </w:pPr>
      <w:r>
        <w:tab/>
      </w:r>
    </w:p>
    <w:p w:rsidR="00924FC7" w:rsidRDefault="00924FC7" w:rsidP="00924FC7">
      <w:pPr>
        <w:tabs>
          <w:tab w:val="left" w:pos="6360"/>
        </w:tabs>
      </w:pPr>
    </w:p>
    <w:p w:rsidR="00924FC7" w:rsidRDefault="00924FC7" w:rsidP="00924FC7">
      <w:pPr>
        <w:tabs>
          <w:tab w:val="left" w:pos="6360"/>
        </w:tabs>
      </w:pPr>
    </w:p>
    <w:sectPr w:rsidR="00924FC7" w:rsidSect="0005541D">
      <w:headerReference w:type="even" r:id="rId8"/>
      <w:headerReference w:type="default" r:id="rId9"/>
      <w:pgSz w:w="11906" w:h="16838"/>
      <w:pgMar w:top="851" w:right="851" w:bottom="851"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2DFA" w:rsidRDefault="000B2DFA" w:rsidP="007646F2">
      <w:r>
        <w:separator/>
      </w:r>
    </w:p>
  </w:endnote>
  <w:endnote w:type="continuationSeparator" w:id="0">
    <w:p w:rsidR="000B2DFA" w:rsidRDefault="000B2DFA" w:rsidP="00764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2DFA" w:rsidRDefault="000B2DFA" w:rsidP="007646F2">
      <w:r>
        <w:separator/>
      </w:r>
    </w:p>
  </w:footnote>
  <w:footnote w:type="continuationSeparator" w:id="0">
    <w:p w:rsidR="000B2DFA" w:rsidRDefault="000B2DFA" w:rsidP="007646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46C" w:rsidRDefault="0004146C" w:rsidP="004E39B2">
    <w:pPr>
      <w:pStyle w:val="a7"/>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3</w:t>
    </w:r>
    <w:r>
      <w:rPr>
        <w:rStyle w:val="ab"/>
      </w:rPr>
      <w:fldChar w:fldCharType="end"/>
    </w:r>
  </w:p>
  <w:p w:rsidR="0004146C" w:rsidRDefault="0004146C">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B02" w:rsidRDefault="006E7B02">
    <w:pPr>
      <w:pStyle w:val="a7"/>
      <w:jc w:val="center"/>
    </w:pPr>
  </w:p>
  <w:p w:rsidR="006E7B02" w:rsidRDefault="006E7B02">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6A4201"/>
    <w:multiLevelType w:val="hybridMultilevel"/>
    <w:tmpl w:val="DDD85DCE"/>
    <w:lvl w:ilvl="0" w:tplc="F28ED95A">
      <w:numFmt w:val="bullet"/>
      <w:lvlText w:val="-"/>
      <w:lvlJc w:val="left"/>
      <w:pPr>
        <w:tabs>
          <w:tab w:val="num" w:pos="420"/>
        </w:tabs>
        <w:ind w:left="420" w:hanging="360"/>
      </w:pPr>
      <w:rPr>
        <w:rFonts w:ascii="Times New Roman" w:eastAsia="Times New Roman" w:hAnsi="Times New Roman" w:cs="Times New Roman" w:hint="default"/>
      </w:rPr>
    </w:lvl>
    <w:lvl w:ilvl="1" w:tplc="04190003">
      <w:start w:val="1"/>
      <w:numFmt w:val="bullet"/>
      <w:lvlText w:val="o"/>
      <w:lvlJc w:val="left"/>
      <w:pPr>
        <w:tabs>
          <w:tab w:val="num" w:pos="1140"/>
        </w:tabs>
        <w:ind w:left="1140" w:hanging="360"/>
      </w:pPr>
      <w:rPr>
        <w:rFonts w:ascii="Courier New" w:hAnsi="Courier New" w:cs="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cs="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cs="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802"/>
    <w:rsid w:val="00010457"/>
    <w:rsid w:val="000110F6"/>
    <w:rsid w:val="00027350"/>
    <w:rsid w:val="000335FF"/>
    <w:rsid w:val="0004146C"/>
    <w:rsid w:val="00044EC7"/>
    <w:rsid w:val="00046F2E"/>
    <w:rsid w:val="000471C7"/>
    <w:rsid w:val="000522BD"/>
    <w:rsid w:val="00052C8E"/>
    <w:rsid w:val="00053EFD"/>
    <w:rsid w:val="00054F00"/>
    <w:rsid w:val="0005541D"/>
    <w:rsid w:val="00060782"/>
    <w:rsid w:val="0006691F"/>
    <w:rsid w:val="000712A9"/>
    <w:rsid w:val="00072332"/>
    <w:rsid w:val="000730BF"/>
    <w:rsid w:val="000748AB"/>
    <w:rsid w:val="00081922"/>
    <w:rsid w:val="000834F4"/>
    <w:rsid w:val="000912DB"/>
    <w:rsid w:val="00095991"/>
    <w:rsid w:val="000A60BA"/>
    <w:rsid w:val="000A638A"/>
    <w:rsid w:val="000B2DFA"/>
    <w:rsid w:val="000C1534"/>
    <w:rsid w:val="000C2C2C"/>
    <w:rsid w:val="000C36AD"/>
    <w:rsid w:val="000C4A78"/>
    <w:rsid w:val="000C50BF"/>
    <w:rsid w:val="000D25AA"/>
    <w:rsid w:val="000E505B"/>
    <w:rsid w:val="000E7662"/>
    <w:rsid w:val="001046B8"/>
    <w:rsid w:val="001057F6"/>
    <w:rsid w:val="00123951"/>
    <w:rsid w:val="00124E5E"/>
    <w:rsid w:val="0013203E"/>
    <w:rsid w:val="001324A1"/>
    <w:rsid w:val="00132EDF"/>
    <w:rsid w:val="00140C86"/>
    <w:rsid w:val="001520C6"/>
    <w:rsid w:val="001604D4"/>
    <w:rsid w:val="0016492E"/>
    <w:rsid w:val="00165B0E"/>
    <w:rsid w:val="00166B1A"/>
    <w:rsid w:val="0017771E"/>
    <w:rsid w:val="00182607"/>
    <w:rsid w:val="00190C0A"/>
    <w:rsid w:val="001916E3"/>
    <w:rsid w:val="00192179"/>
    <w:rsid w:val="00194655"/>
    <w:rsid w:val="001A3800"/>
    <w:rsid w:val="001B79E5"/>
    <w:rsid w:val="001C13FC"/>
    <w:rsid w:val="001C36C5"/>
    <w:rsid w:val="001E499D"/>
    <w:rsid w:val="001F6BD9"/>
    <w:rsid w:val="001F7F47"/>
    <w:rsid w:val="00202C19"/>
    <w:rsid w:val="00203FB3"/>
    <w:rsid w:val="00211EEF"/>
    <w:rsid w:val="00220FA6"/>
    <w:rsid w:val="002212E2"/>
    <w:rsid w:val="00221997"/>
    <w:rsid w:val="00222061"/>
    <w:rsid w:val="002239FC"/>
    <w:rsid w:val="002357C1"/>
    <w:rsid w:val="002430D4"/>
    <w:rsid w:val="00251A65"/>
    <w:rsid w:val="00255F2F"/>
    <w:rsid w:val="0025618B"/>
    <w:rsid w:val="00256251"/>
    <w:rsid w:val="0026011B"/>
    <w:rsid w:val="002604F1"/>
    <w:rsid w:val="00261EE4"/>
    <w:rsid w:val="00271D43"/>
    <w:rsid w:val="00280907"/>
    <w:rsid w:val="00281C64"/>
    <w:rsid w:val="00284494"/>
    <w:rsid w:val="00287596"/>
    <w:rsid w:val="00290024"/>
    <w:rsid w:val="002940AB"/>
    <w:rsid w:val="002A7038"/>
    <w:rsid w:val="002B0EA4"/>
    <w:rsid w:val="002B12E9"/>
    <w:rsid w:val="002B1A54"/>
    <w:rsid w:val="002B2086"/>
    <w:rsid w:val="002B5D35"/>
    <w:rsid w:val="002D05C4"/>
    <w:rsid w:val="002D4102"/>
    <w:rsid w:val="002E123B"/>
    <w:rsid w:val="002E161C"/>
    <w:rsid w:val="002F5229"/>
    <w:rsid w:val="002F54A6"/>
    <w:rsid w:val="002F717F"/>
    <w:rsid w:val="0030421B"/>
    <w:rsid w:val="00304BC8"/>
    <w:rsid w:val="003301FD"/>
    <w:rsid w:val="0033433B"/>
    <w:rsid w:val="0033793F"/>
    <w:rsid w:val="003564CF"/>
    <w:rsid w:val="003566FB"/>
    <w:rsid w:val="00360690"/>
    <w:rsid w:val="00360721"/>
    <w:rsid w:val="003611E6"/>
    <w:rsid w:val="00364AFD"/>
    <w:rsid w:val="003661AF"/>
    <w:rsid w:val="003723FF"/>
    <w:rsid w:val="00372C66"/>
    <w:rsid w:val="00384140"/>
    <w:rsid w:val="0038498F"/>
    <w:rsid w:val="00385484"/>
    <w:rsid w:val="003855B5"/>
    <w:rsid w:val="0038600E"/>
    <w:rsid w:val="00395722"/>
    <w:rsid w:val="00397F81"/>
    <w:rsid w:val="003A03BF"/>
    <w:rsid w:val="003B041A"/>
    <w:rsid w:val="003B2FFC"/>
    <w:rsid w:val="003C01B4"/>
    <w:rsid w:val="003D341D"/>
    <w:rsid w:val="003D3D5F"/>
    <w:rsid w:val="003D5765"/>
    <w:rsid w:val="003D5D9A"/>
    <w:rsid w:val="003D6112"/>
    <w:rsid w:val="003E1AB1"/>
    <w:rsid w:val="003E3B4A"/>
    <w:rsid w:val="003E6DF9"/>
    <w:rsid w:val="003F65DF"/>
    <w:rsid w:val="00400396"/>
    <w:rsid w:val="004021F3"/>
    <w:rsid w:val="0040519A"/>
    <w:rsid w:val="00406739"/>
    <w:rsid w:val="0041087F"/>
    <w:rsid w:val="00411F92"/>
    <w:rsid w:val="0041258E"/>
    <w:rsid w:val="0041696B"/>
    <w:rsid w:val="00427305"/>
    <w:rsid w:val="00427BE2"/>
    <w:rsid w:val="004324AB"/>
    <w:rsid w:val="004357D4"/>
    <w:rsid w:val="00440B75"/>
    <w:rsid w:val="004460ED"/>
    <w:rsid w:val="00447A03"/>
    <w:rsid w:val="00466E7A"/>
    <w:rsid w:val="00473EE9"/>
    <w:rsid w:val="00475337"/>
    <w:rsid w:val="00480653"/>
    <w:rsid w:val="004834BE"/>
    <w:rsid w:val="0049533E"/>
    <w:rsid w:val="0049688F"/>
    <w:rsid w:val="004A0F93"/>
    <w:rsid w:val="004A448F"/>
    <w:rsid w:val="004A5A40"/>
    <w:rsid w:val="004B5AF1"/>
    <w:rsid w:val="004C13F3"/>
    <w:rsid w:val="004C3B7A"/>
    <w:rsid w:val="004E04F8"/>
    <w:rsid w:val="004E39B2"/>
    <w:rsid w:val="004F1741"/>
    <w:rsid w:val="0050397C"/>
    <w:rsid w:val="0050537E"/>
    <w:rsid w:val="0051360E"/>
    <w:rsid w:val="00525FF6"/>
    <w:rsid w:val="00535B77"/>
    <w:rsid w:val="00550E50"/>
    <w:rsid w:val="005521BB"/>
    <w:rsid w:val="00567191"/>
    <w:rsid w:val="005718BA"/>
    <w:rsid w:val="005769EE"/>
    <w:rsid w:val="00584111"/>
    <w:rsid w:val="00592855"/>
    <w:rsid w:val="005A27D5"/>
    <w:rsid w:val="005A28FA"/>
    <w:rsid w:val="005B2DE0"/>
    <w:rsid w:val="005C33A2"/>
    <w:rsid w:val="005E2630"/>
    <w:rsid w:val="005E6EA6"/>
    <w:rsid w:val="005F4775"/>
    <w:rsid w:val="005F5728"/>
    <w:rsid w:val="00602A7B"/>
    <w:rsid w:val="00604B5B"/>
    <w:rsid w:val="00612B95"/>
    <w:rsid w:val="00643A7F"/>
    <w:rsid w:val="00645973"/>
    <w:rsid w:val="00662FE6"/>
    <w:rsid w:val="0066620F"/>
    <w:rsid w:val="006729E2"/>
    <w:rsid w:val="00676047"/>
    <w:rsid w:val="00676A02"/>
    <w:rsid w:val="00680462"/>
    <w:rsid w:val="006923E2"/>
    <w:rsid w:val="006929E5"/>
    <w:rsid w:val="00695309"/>
    <w:rsid w:val="006A7645"/>
    <w:rsid w:val="006B4691"/>
    <w:rsid w:val="006B5D55"/>
    <w:rsid w:val="006B7FD0"/>
    <w:rsid w:val="006C0417"/>
    <w:rsid w:val="006C1583"/>
    <w:rsid w:val="006C2106"/>
    <w:rsid w:val="006C4416"/>
    <w:rsid w:val="006C7C4E"/>
    <w:rsid w:val="006D222A"/>
    <w:rsid w:val="006D5299"/>
    <w:rsid w:val="006D64C2"/>
    <w:rsid w:val="006E09D8"/>
    <w:rsid w:val="006E1302"/>
    <w:rsid w:val="006E519C"/>
    <w:rsid w:val="006E7B02"/>
    <w:rsid w:val="006F423E"/>
    <w:rsid w:val="006F76B1"/>
    <w:rsid w:val="00702F39"/>
    <w:rsid w:val="00711D8A"/>
    <w:rsid w:val="007154FA"/>
    <w:rsid w:val="0072179A"/>
    <w:rsid w:val="00723301"/>
    <w:rsid w:val="007310D0"/>
    <w:rsid w:val="00731756"/>
    <w:rsid w:val="007367C7"/>
    <w:rsid w:val="007446E5"/>
    <w:rsid w:val="00747213"/>
    <w:rsid w:val="00747915"/>
    <w:rsid w:val="0075165F"/>
    <w:rsid w:val="00751D34"/>
    <w:rsid w:val="007646F2"/>
    <w:rsid w:val="007707C1"/>
    <w:rsid w:val="007832F3"/>
    <w:rsid w:val="00786847"/>
    <w:rsid w:val="00797C63"/>
    <w:rsid w:val="007A0261"/>
    <w:rsid w:val="007A11ED"/>
    <w:rsid w:val="007A1977"/>
    <w:rsid w:val="007A4F2B"/>
    <w:rsid w:val="007D1027"/>
    <w:rsid w:val="007D7B16"/>
    <w:rsid w:val="007E081C"/>
    <w:rsid w:val="007E2AB1"/>
    <w:rsid w:val="007E3426"/>
    <w:rsid w:val="007E439D"/>
    <w:rsid w:val="007E6ACB"/>
    <w:rsid w:val="007F21F9"/>
    <w:rsid w:val="007F70EB"/>
    <w:rsid w:val="00814D2A"/>
    <w:rsid w:val="00816851"/>
    <w:rsid w:val="00824930"/>
    <w:rsid w:val="0082537C"/>
    <w:rsid w:val="0083128D"/>
    <w:rsid w:val="00836032"/>
    <w:rsid w:val="00836536"/>
    <w:rsid w:val="00842CE6"/>
    <w:rsid w:val="00843606"/>
    <w:rsid w:val="008459F2"/>
    <w:rsid w:val="00847C18"/>
    <w:rsid w:val="00856E08"/>
    <w:rsid w:val="008712DA"/>
    <w:rsid w:val="008A03CC"/>
    <w:rsid w:val="008A2CED"/>
    <w:rsid w:val="008A3234"/>
    <w:rsid w:val="008A3CF0"/>
    <w:rsid w:val="008B271D"/>
    <w:rsid w:val="008B29A6"/>
    <w:rsid w:val="008C639C"/>
    <w:rsid w:val="008C63EF"/>
    <w:rsid w:val="008C78BA"/>
    <w:rsid w:val="008D61BD"/>
    <w:rsid w:val="008F602D"/>
    <w:rsid w:val="009115E1"/>
    <w:rsid w:val="00913520"/>
    <w:rsid w:val="00914F26"/>
    <w:rsid w:val="00924FC7"/>
    <w:rsid w:val="009252B9"/>
    <w:rsid w:val="00942EA6"/>
    <w:rsid w:val="00943434"/>
    <w:rsid w:val="009522B7"/>
    <w:rsid w:val="0095284A"/>
    <w:rsid w:val="009575F5"/>
    <w:rsid w:val="00965D4A"/>
    <w:rsid w:val="00975717"/>
    <w:rsid w:val="00987F75"/>
    <w:rsid w:val="009954A8"/>
    <w:rsid w:val="009A034C"/>
    <w:rsid w:val="009A3993"/>
    <w:rsid w:val="009A7937"/>
    <w:rsid w:val="009B4069"/>
    <w:rsid w:val="009B639F"/>
    <w:rsid w:val="009C288F"/>
    <w:rsid w:val="009C3CB8"/>
    <w:rsid w:val="009C49C0"/>
    <w:rsid w:val="009D05A8"/>
    <w:rsid w:val="009D06E7"/>
    <w:rsid w:val="009D0FB2"/>
    <w:rsid w:val="009D2507"/>
    <w:rsid w:val="009D4EC3"/>
    <w:rsid w:val="009E0488"/>
    <w:rsid w:val="009E3D24"/>
    <w:rsid w:val="009E6C65"/>
    <w:rsid w:val="009F2EB7"/>
    <w:rsid w:val="009F56F8"/>
    <w:rsid w:val="009F650E"/>
    <w:rsid w:val="009F7372"/>
    <w:rsid w:val="009F7401"/>
    <w:rsid w:val="00A0637C"/>
    <w:rsid w:val="00A071EE"/>
    <w:rsid w:val="00A121E8"/>
    <w:rsid w:val="00A123C5"/>
    <w:rsid w:val="00A17DBE"/>
    <w:rsid w:val="00A24A7E"/>
    <w:rsid w:val="00A260CF"/>
    <w:rsid w:val="00A27667"/>
    <w:rsid w:val="00A3746E"/>
    <w:rsid w:val="00A41ACF"/>
    <w:rsid w:val="00A546D7"/>
    <w:rsid w:val="00A726E9"/>
    <w:rsid w:val="00A7451B"/>
    <w:rsid w:val="00A76BE9"/>
    <w:rsid w:val="00A80415"/>
    <w:rsid w:val="00A8344F"/>
    <w:rsid w:val="00AA07FE"/>
    <w:rsid w:val="00AA321C"/>
    <w:rsid w:val="00AA7303"/>
    <w:rsid w:val="00AB03A7"/>
    <w:rsid w:val="00AB31A5"/>
    <w:rsid w:val="00AB627D"/>
    <w:rsid w:val="00AC3ADB"/>
    <w:rsid w:val="00AC44F8"/>
    <w:rsid w:val="00AD7AAA"/>
    <w:rsid w:val="00AE7F58"/>
    <w:rsid w:val="00B006C0"/>
    <w:rsid w:val="00B02983"/>
    <w:rsid w:val="00B048EF"/>
    <w:rsid w:val="00B21605"/>
    <w:rsid w:val="00B2592E"/>
    <w:rsid w:val="00B25F97"/>
    <w:rsid w:val="00B311C4"/>
    <w:rsid w:val="00B33A4E"/>
    <w:rsid w:val="00B34EFE"/>
    <w:rsid w:val="00B406F9"/>
    <w:rsid w:val="00B52AC3"/>
    <w:rsid w:val="00B615BE"/>
    <w:rsid w:val="00B63D0A"/>
    <w:rsid w:val="00B67C44"/>
    <w:rsid w:val="00B7261E"/>
    <w:rsid w:val="00B733F4"/>
    <w:rsid w:val="00B7672B"/>
    <w:rsid w:val="00B84760"/>
    <w:rsid w:val="00B84C40"/>
    <w:rsid w:val="00B87CDA"/>
    <w:rsid w:val="00B9193E"/>
    <w:rsid w:val="00B94C21"/>
    <w:rsid w:val="00B95182"/>
    <w:rsid w:val="00B96141"/>
    <w:rsid w:val="00BA1A80"/>
    <w:rsid w:val="00BD3A0E"/>
    <w:rsid w:val="00C2129D"/>
    <w:rsid w:val="00C2495E"/>
    <w:rsid w:val="00C250E8"/>
    <w:rsid w:val="00C36283"/>
    <w:rsid w:val="00C413E7"/>
    <w:rsid w:val="00C421C7"/>
    <w:rsid w:val="00C461C2"/>
    <w:rsid w:val="00C46504"/>
    <w:rsid w:val="00C5060D"/>
    <w:rsid w:val="00C5143F"/>
    <w:rsid w:val="00C53C17"/>
    <w:rsid w:val="00C661AC"/>
    <w:rsid w:val="00C73B7B"/>
    <w:rsid w:val="00C74256"/>
    <w:rsid w:val="00C7586B"/>
    <w:rsid w:val="00C77393"/>
    <w:rsid w:val="00C87181"/>
    <w:rsid w:val="00C944D2"/>
    <w:rsid w:val="00C94801"/>
    <w:rsid w:val="00C95811"/>
    <w:rsid w:val="00CA3290"/>
    <w:rsid w:val="00CA7985"/>
    <w:rsid w:val="00CB12F6"/>
    <w:rsid w:val="00CB61DA"/>
    <w:rsid w:val="00CC01AC"/>
    <w:rsid w:val="00CC4F06"/>
    <w:rsid w:val="00CC538A"/>
    <w:rsid w:val="00CC6083"/>
    <w:rsid w:val="00CC778C"/>
    <w:rsid w:val="00CE52D2"/>
    <w:rsid w:val="00CE6624"/>
    <w:rsid w:val="00CF046B"/>
    <w:rsid w:val="00CF2F1B"/>
    <w:rsid w:val="00CF46D1"/>
    <w:rsid w:val="00D10315"/>
    <w:rsid w:val="00D1422F"/>
    <w:rsid w:val="00D147A3"/>
    <w:rsid w:val="00D15E87"/>
    <w:rsid w:val="00D22C02"/>
    <w:rsid w:val="00D316CA"/>
    <w:rsid w:val="00D35CAC"/>
    <w:rsid w:val="00D42909"/>
    <w:rsid w:val="00D450AE"/>
    <w:rsid w:val="00D51E1E"/>
    <w:rsid w:val="00D556E1"/>
    <w:rsid w:val="00D57DF7"/>
    <w:rsid w:val="00D65BB5"/>
    <w:rsid w:val="00D70DDF"/>
    <w:rsid w:val="00D727D4"/>
    <w:rsid w:val="00D741D3"/>
    <w:rsid w:val="00D81398"/>
    <w:rsid w:val="00D92D04"/>
    <w:rsid w:val="00DA2AB4"/>
    <w:rsid w:val="00DB0409"/>
    <w:rsid w:val="00DB099F"/>
    <w:rsid w:val="00DB3A1A"/>
    <w:rsid w:val="00DB60CE"/>
    <w:rsid w:val="00DB6909"/>
    <w:rsid w:val="00DB6DFE"/>
    <w:rsid w:val="00DB7703"/>
    <w:rsid w:val="00DC4A8D"/>
    <w:rsid w:val="00DC6C68"/>
    <w:rsid w:val="00DD53D6"/>
    <w:rsid w:val="00DE1F71"/>
    <w:rsid w:val="00DE48B8"/>
    <w:rsid w:val="00DF238E"/>
    <w:rsid w:val="00DF3CDE"/>
    <w:rsid w:val="00DF578B"/>
    <w:rsid w:val="00DF6051"/>
    <w:rsid w:val="00DF6104"/>
    <w:rsid w:val="00E00F80"/>
    <w:rsid w:val="00E04F11"/>
    <w:rsid w:val="00E147BB"/>
    <w:rsid w:val="00E2004D"/>
    <w:rsid w:val="00E207D5"/>
    <w:rsid w:val="00E23F40"/>
    <w:rsid w:val="00E244F9"/>
    <w:rsid w:val="00E259BD"/>
    <w:rsid w:val="00E26027"/>
    <w:rsid w:val="00E27C2C"/>
    <w:rsid w:val="00E27EA9"/>
    <w:rsid w:val="00E40BDA"/>
    <w:rsid w:val="00E41A62"/>
    <w:rsid w:val="00E42E27"/>
    <w:rsid w:val="00E62E8D"/>
    <w:rsid w:val="00E6795B"/>
    <w:rsid w:val="00E67F02"/>
    <w:rsid w:val="00E67F39"/>
    <w:rsid w:val="00E76649"/>
    <w:rsid w:val="00E80132"/>
    <w:rsid w:val="00E91E18"/>
    <w:rsid w:val="00E9227E"/>
    <w:rsid w:val="00EA09DA"/>
    <w:rsid w:val="00EA5169"/>
    <w:rsid w:val="00EB5A50"/>
    <w:rsid w:val="00EC487D"/>
    <w:rsid w:val="00ED1255"/>
    <w:rsid w:val="00ED21B1"/>
    <w:rsid w:val="00EE3631"/>
    <w:rsid w:val="00EE49B1"/>
    <w:rsid w:val="00EE7095"/>
    <w:rsid w:val="00EF2822"/>
    <w:rsid w:val="00EF6802"/>
    <w:rsid w:val="00F15CEF"/>
    <w:rsid w:val="00F2248D"/>
    <w:rsid w:val="00F23D37"/>
    <w:rsid w:val="00F260FB"/>
    <w:rsid w:val="00F338CB"/>
    <w:rsid w:val="00F41AAA"/>
    <w:rsid w:val="00F45419"/>
    <w:rsid w:val="00F55A6C"/>
    <w:rsid w:val="00F60C88"/>
    <w:rsid w:val="00F62D8E"/>
    <w:rsid w:val="00F70DCB"/>
    <w:rsid w:val="00F76027"/>
    <w:rsid w:val="00F813F8"/>
    <w:rsid w:val="00F82171"/>
    <w:rsid w:val="00F82862"/>
    <w:rsid w:val="00F82A1C"/>
    <w:rsid w:val="00F84905"/>
    <w:rsid w:val="00F922B9"/>
    <w:rsid w:val="00F94DC1"/>
    <w:rsid w:val="00F96B15"/>
    <w:rsid w:val="00FA117B"/>
    <w:rsid w:val="00FA1FC5"/>
    <w:rsid w:val="00FA50E1"/>
    <w:rsid w:val="00FB3C99"/>
    <w:rsid w:val="00FB5BE3"/>
    <w:rsid w:val="00FC4F2D"/>
    <w:rsid w:val="00FC53BD"/>
    <w:rsid w:val="00FC6EFD"/>
    <w:rsid w:val="00FD008D"/>
    <w:rsid w:val="00FD39FC"/>
    <w:rsid w:val="00FE32D1"/>
    <w:rsid w:val="00FE6A59"/>
    <w:rsid w:val="00FE73A2"/>
    <w:rsid w:val="00FF19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pPr>
    <w:rPr>
      <w:lang w:val="uk-UA"/>
    </w:rPr>
  </w:style>
  <w:style w:type="paragraph" w:styleId="1">
    <w:name w:val="heading 1"/>
    <w:basedOn w:val="a"/>
    <w:next w:val="a"/>
    <w:qFormat/>
    <w:pPr>
      <w:keepNext/>
      <w:jc w:val="both"/>
      <w:outlineLvl w:val="0"/>
    </w:pPr>
    <w:rPr>
      <w:bCs/>
      <w:sz w:val="24"/>
      <w:szCs w:val="24"/>
    </w:rPr>
  </w:style>
  <w:style w:type="paragraph" w:styleId="3">
    <w:name w:val="heading 3"/>
    <w:basedOn w:val="a"/>
    <w:next w:val="a"/>
    <w:link w:val="30"/>
    <w:semiHidden/>
    <w:unhideWhenUsed/>
    <w:qFormat/>
    <w:rsid w:val="00924FC7"/>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ind w:firstLine="708"/>
      <w:jc w:val="both"/>
    </w:pPr>
    <w:rPr>
      <w:sz w:val="24"/>
      <w:szCs w:val="24"/>
    </w:rPr>
  </w:style>
  <w:style w:type="paragraph" w:styleId="a5">
    <w:name w:val="Balloon Text"/>
    <w:basedOn w:val="a"/>
    <w:semiHidden/>
    <w:rPr>
      <w:rFonts w:ascii="Tahoma" w:hAnsi="Tahoma" w:cs="Tahoma"/>
      <w:sz w:val="16"/>
      <w:szCs w:val="16"/>
    </w:rPr>
  </w:style>
  <w:style w:type="paragraph" w:styleId="a6">
    <w:name w:val="Body Text"/>
    <w:basedOn w:val="a"/>
    <w:pPr>
      <w:jc w:val="both"/>
    </w:pPr>
    <w:rPr>
      <w:sz w:val="24"/>
      <w:szCs w:val="24"/>
    </w:rPr>
  </w:style>
  <w:style w:type="paragraph" w:styleId="a7">
    <w:name w:val="header"/>
    <w:basedOn w:val="a"/>
    <w:link w:val="a8"/>
    <w:uiPriority w:val="99"/>
    <w:rsid w:val="007646F2"/>
    <w:pPr>
      <w:tabs>
        <w:tab w:val="center" w:pos="4677"/>
        <w:tab w:val="right" w:pos="9355"/>
      </w:tabs>
    </w:pPr>
  </w:style>
  <w:style w:type="character" w:customStyle="1" w:styleId="a8">
    <w:name w:val="Верхний колонтитул Знак"/>
    <w:link w:val="a7"/>
    <w:uiPriority w:val="99"/>
    <w:rsid w:val="007646F2"/>
    <w:rPr>
      <w:lang w:val="uk-UA"/>
    </w:rPr>
  </w:style>
  <w:style w:type="paragraph" w:styleId="a9">
    <w:name w:val="footer"/>
    <w:basedOn w:val="a"/>
    <w:link w:val="aa"/>
    <w:rsid w:val="007646F2"/>
    <w:pPr>
      <w:tabs>
        <w:tab w:val="center" w:pos="4677"/>
        <w:tab w:val="right" w:pos="9355"/>
      </w:tabs>
    </w:pPr>
  </w:style>
  <w:style w:type="character" w:customStyle="1" w:styleId="aa">
    <w:name w:val="Нижний колонтитул Знак"/>
    <w:link w:val="a9"/>
    <w:rsid w:val="007646F2"/>
    <w:rPr>
      <w:lang w:val="uk-UA"/>
    </w:rPr>
  </w:style>
  <w:style w:type="character" w:styleId="ab">
    <w:name w:val="page number"/>
    <w:basedOn w:val="a0"/>
    <w:rsid w:val="004E39B2"/>
  </w:style>
  <w:style w:type="table" w:styleId="ac">
    <w:name w:val="Table Grid"/>
    <w:basedOn w:val="a1"/>
    <w:rsid w:val="006E7B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D70DDF"/>
    <w:pPr>
      <w:overflowPunct w:val="0"/>
      <w:autoSpaceDE w:val="0"/>
      <w:autoSpaceDN w:val="0"/>
      <w:adjustRightInd w:val="0"/>
    </w:pPr>
    <w:rPr>
      <w:sz w:val="26"/>
    </w:rPr>
  </w:style>
  <w:style w:type="character" w:styleId="ae">
    <w:name w:val="Emphasis"/>
    <w:qFormat/>
    <w:rsid w:val="009954A8"/>
    <w:rPr>
      <w:i/>
      <w:iCs/>
    </w:rPr>
  </w:style>
  <w:style w:type="character" w:customStyle="1" w:styleId="a4">
    <w:name w:val="Основной текст с отступом Знак"/>
    <w:link w:val="a3"/>
    <w:rsid w:val="007707C1"/>
    <w:rPr>
      <w:sz w:val="24"/>
      <w:szCs w:val="24"/>
      <w:lang w:val="uk-UA"/>
    </w:rPr>
  </w:style>
  <w:style w:type="character" w:styleId="af">
    <w:name w:val="Hyperlink"/>
    <w:uiPriority w:val="99"/>
    <w:unhideWhenUsed/>
    <w:rsid w:val="00190C0A"/>
    <w:rPr>
      <w:color w:val="0000FF"/>
      <w:u w:val="single"/>
    </w:rPr>
  </w:style>
  <w:style w:type="paragraph" w:customStyle="1" w:styleId="rvps2">
    <w:name w:val="rvps2"/>
    <w:basedOn w:val="a"/>
    <w:rsid w:val="00190C0A"/>
    <w:pPr>
      <w:widowControl/>
      <w:autoSpaceDE/>
      <w:autoSpaceDN/>
      <w:spacing w:before="100" w:beforeAutospacing="1" w:after="100" w:afterAutospacing="1"/>
    </w:pPr>
    <w:rPr>
      <w:sz w:val="24"/>
      <w:szCs w:val="24"/>
      <w:lang w:val="ru-RU"/>
    </w:rPr>
  </w:style>
  <w:style w:type="character" w:customStyle="1" w:styleId="30">
    <w:name w:val="Заголовок 3 Знак"/>
    <w:basedOn w:val="a0"/>
    <w:link w:val="3"/>
    <w:semiHidden/>
    <w:rsid w:val="00924FC7"/>
    <w:rPr>
      <w:rFonts w:asciiTheme="majorHAnsi" w:eastAsiaTheme="majorEastAsia" w:hAnsiTheme="majorHAnsi" w:cstheme="majorBidi"/>
      <w:color w:val="1F4D78" w:themeColor="accent1" w:themeShade="7F"/>
      <w:sz w:val="24"/>
      <w:szCs w:val="24"/>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pPr>
    <w:rPr>
      <w:lang w:val="uk-UA"/>
    </w:rPr>
  </w:style>
  <w:style w:type="paragraph" w:styleId="1">
    <w:name w:val="heading 1"/>
    <w:basedOn w:val="a"/>
    <w:next w:val="a"/>
    <w:qFormat/>
    <w:pPr>
      <w:keepNext/>
      <w:jc w:val="both"/>
      <w:outlineLvl w:val="0"/>
    </w:pPr>
    <w:rPr>
      <w:bCs/>
      <w:sz w:val="24"/>
      <w:szCs w:val="24"/>
    </w:rPr>
  </w:style>
  <w:style w:type="paragraph" w:styleId="3">
    <w:name w:val="heading 3"/>
    <w:basedOn w:val="a"/>
    <w:next w:val="a"/>
    <w:link w:val="30"/>
    <w:semiHidden/>
    <w:unhideWhenUsed/>
    <w:qFormat/>
    <w:rsid w:val="00924FC7"/>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ind w:firstLine="708"/>
      <w:jc w:val="both"/>
    </w:pPr>
    <w:rPr>
      <w:sz w:val="24"/>
      <w:szCs w:val="24"/>
    </w:rPr>
  </w:style>
  <w:style w:type="paragraph" w:styleId="a5">
    <w:name w:val="Balloon Text"/>
    <w:basedOn w:val="a"/>
    <w:semiHidden/>
    <w:rPr>
      <w:rFonts w:ascii="Tahoma" w:hAnsi="Tahoma" w:cs="Tahoma"/>
      <w:sz w:val="16"/>
      <w:szCs w:val="16"/>
    </w:rPr>
  </w:style>
  <w:style w:type="paragraph" w:styleId="a6">
    <w:name w:val="Body Text"/>
    <w:basedOn w:val="a"/>
    <w:pPr>
      <w:jc w:val="both"/>
    </w:pPr>
    <w:rPr>
      <w:sz w:val="24"/>
      <w:szCs w:val="24"/>
    </w:rPr>
  </w:style>
  <w:style w:type="paragraph" w:styleId="a7">
    <w:name w:val="header"/>
    <w:basedOn w:val="a"/>
    <w:link w:val="a8"/>
    <w:uiPriority w:val="99"/>
    <w:rsid w:val="007646F2"/>
    <w:pPr>
      <w:tabs>
        <w:tab w:val="center" w:pos="4677"/>
        <w:tab w:val="right" w:pos="9355"/>
      </w:tabs>
    </w:pPr>
  </w:style>
  <w:style w:type="character" w:customStyle="1" w:styleId="a8">
    <w:name w:val="Верхний колонтитул Знак"/>
    <w:link w:val="a7"/>
    <w:uiPriority w:val="99"/>
    <w:rsid w:val="007646F2"/>
    <w:rPr>
      <w:lang w:val="uk-UA"/>
    </w:rPr>
  </w:style>
  <w:style w:type="paragraph" w:styleId="a9">
    <w:name w:val="footer"/>
    <w:basedOn w:val="a"/>
    <w:link w:val="aa"/>
    <w:rsid w:val="007646F2"/>
    <w:pPr>
      <w:tabs>
        <w:tab w:val="center" w:pos="4677"/>
        <w:tab w:val="right" w:pos="9355"/>
      </w:tabs>
    </w:pPr>
  </w:style>
  <w:style w:type="character" w:customStyle="1" w:styleId="aa">
    <w:name w:val="Нижний колонтитул Знак"/>
    <w:link w:val="a9"/>
    <w:rsid w:val="007646F2"/>
    <w:rPr>
      <w:lang w:val="uk-UA"/>
    </w:rPr>
  </w:style>
  <w:style w:type="character" w:styleId="ab">
    <w:name w:val="page number"/>
    <w:basedOn w:val="a0"/>
    <w:rsid w:val="004E39B2"/>
  </w:style>
  <w:style w:type="table" w:styleId="ac">
    <w:name w:val="Table Grid"/>
    <w:basedOn w:val="a1"/>
    <w:rsid w:val="006E7B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D70DDF"/>
    <w:pPr>
      <w:overflowPunct w:val="0"/>
      <w:autoSpaceDE w:val="0"/>
      <w:autoSpaceDN w:val="0"/>
      <w:adjustRightInd w:val="0"/>
    </w:pPr>
    <w:rPr>
      <w:sz w:val="26"/>
    </w:rPr>
  </w:style>
  <w:style w:type="character" w:styleId="ae">
    <w:name w:val="Emphasis"/>
    <w:qFormat/>
    <w:rsid w:val="009954A8"/>
    <w:rPr>
      <w:i/>
      <w:iCs/>
    </w:rPr>
  </w:style>
  <w:style w:type="character" w:customStyle="1" w:styleId="a4">
    <w:name w:val="Основной текст с отступом Знак"/>
    <w:link w:val="a3"/>
    <w:rsid w:val="007707C1"/>
    <w:rPr>
      <w:sz w:val="24"/>
      <w:szCs w:val="24"/>
      <w:lang w:val="uk-UA"/>
    </w:rPr>
  </w:style>
  <w:style w:type="character" w:styleId="af">
    <w:name w:val="Hyperlink"/>
    <w:uiPriority w:val="99"/>
    <w:unhideWhenUsed/>
    <w:rsid w:val="00190C0A"/>
    <w:rPr>
      <w:color w:val="0000FF"/>
      <w:u w:val="single"/>
    </w:rPr>
  </w:style>
  <w:style w:type="paragraph" w:customStyle="1" w:styleId="rvps2">
    <w:name w:val="rvps2"/>
    <w:basedOn w:val="a"/>
    <w:rsid w:val="00190C0A"/>
    <w:pPr>
      <w:widowControl/>
      <w:autoSpaceDE/>
      <w:autoSpaceDN/>
      <w:spacing w:before="100" w:beforeAutospacing="1" w:after="100" w:afterAutospacing="1"/>
    </w:pPr>
    <w:rPr>
      <w:sz w:val="24"/>
      <w:szCs w:val="24"/>
      <w:lang w:val="ru-RU"/>
    </w:rPr>
  </w:style>
  <w:style w:type="character" w:customStyle="1" w:styleId="30">
    <w:name w:val="Заголовок 3 Знак"/>
    <w:basedOn w:val="a0"/>
    <w:link w:val="3"/>
    <w:semiHidden/>
    <w:rsid w:val="00924FC7"/>
    <w:rPr>
      <w:rFonts w:asciiTheme="majorHAnsi" w:eastAsiaTheme="majorEastAsia" w:hAnsiTheme="majorHAnsi" w:cstheme="majorBidi"/>
      <w:color w:val="1F4D78" w:themeColor="accent1" w:themeShade="7F"/>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1627843">
      <w:bodyDiv w:val="1"/>
      <w:marLeft w:val="0"/>
      <w:marRight w:val="0"/>
      <w:marTop w:val="0"/>
      <w:marBottom w:val="0"/>
      <w:divBdr>
        <w:top w:val="none" w:sz="0" w:space="0" w:color="auto"/>
        <w:left w:val="none" w:sz="0" w:space="0" w:color="auto"/>
        <w:bottom w:val="none" w:sz="0" w:space="0" w:color="auto"/>
        <w:right w:val="none" w:sz="0" w:space="0" w:color="auto"/>
      </w:divBdr>
    </w:div>
    <w:div w:id="1448616752">
      <w:bodyDiv w:val="1"/>
      <w:marLeft w:val="0"/>
      <w:marRight w:val="0"/>
      <w:marTop w:val="0"/>
      <w:marBottom w:val="0"/>
      <w:divBdr>
        <w:top w:val="none" w:sz="0" w:space="0" w:color="auto"/>
        <w:left w:val="none" w:sz="0" w:space="0" w:color="auto"/>
        <w:bottom w:val="none" w:sz="0" w:space="0" w:color="auto"/>
        <w:right w:val="none" w:sz="0" w:space="0" w:color="auto"/>
      </w:divBdr>
    </w:div>
    <w:div w:id="1753775022">
      <w:bodyDiv w:val="1"/>
      <w:marLeft w:val="0"/>
      <w:marRight w:val="0"/>
      <w:marTop w:val="0"/>
      <w:marBottom w:val="0"/>
      <w:divBdr>
        <w:top w:val="none" w:sz="0" w:space="0" w:color="auto"/>
        <w:left w:val="none" w:sz="0" w:space="0" w:color="auto"/>
        <w:bottom w:val="none" w:sz="0" w:space="0" w:color="auto"/>
        <w:right w:val="none" w:sz="0" w:space="0" w:color="auto"/>
      </w:divBdr>
    </w:div>
    <w:div w:id="1811288448">
      <w:bodyDiv w:val="1"/>
      <w:marLeft w:val="0"/>
      <w:marRight w:val="0"/>
      <w:marTop w:val="0"/>
      <w:marBottom w:val="0"/>
      <w:divBdr>
        <w:top w:val="none" w:sz="0" w:space="0" w:color="auto"/>
        <w:left w:val="none" w:sz="0" w:space="0" w:color="auto"/>
        <w:bottom w:val="none" w:sz="0" w:space="0" w:color="auto"/>
        <w:right w:val="none" w:sz="0" w:space="0" w:color="auto"/>
      </w:divBdr>
    </w:div>
    <w:div w:id="185391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371</TotalTime>
  <Pages>4</Pages>
  <Words>1896</Words>
  <Characters>10810</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lpstr>
    </vt:vector>
  </TitlesOfParts>
  <Company>Microsoft</Company>
  <LinksUpToDate>false</LinksUpToDate>
  <CharactersWithSpaces>12681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XTreme</dc:creator>
  <cp:keywords/>
  <cp:lastModifiedBy>Пользователь Windows</cp:lastModifiedBy>
  <cp:revision>17</cp:revision>
  <cp:lastPrinted>2018-05-25T06:05:00Z</cp:lastPrinted>
  <dcterms:created xsi:type="dcterms:W3CDTF">2019-04-23T12:22:00Z</dcterms:created>
  <dcterms:modified xsi:type="dcterms:W3CDTF">2019-05-28T14:03:00Z</dcterms:modified>
</cp:coreProperties>
</file>