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60" w:rsidRPr="00810B11" w:rsidRDefault="00500860" w:rsidP="00500860">
      <w:pPr>
        <w:jc w:val="center"/>
        <w:rPr>
          <w:b/>
          <w:bCs/>
          <w:lang w:val="uk-UA"/>
        </w:rPr>
      </w:pPr>
      <w:r w:rsidRPr="00810B11">
        <w:rPr>
          <w:b/>
          <w:bCs/>
          <w:lang w:val="uk-UA"/>
        </w:rPr>
        <w:t>Шановний платник</w:t>
      </w:r>
      <w:r>
        <w:rPr>
          <w:b/>
          <w:bCs/>
          <w:lang w:val="uk-UA"/>
        </w:rPr>
        <w:t>у</w:t>
      </w:r>
      <w:r w:rsidRPr="00810B11">
        <w:rPr>
          <w:b/>
          <w:bCs/>
          <w:lang w:val="uk-UA"/>
        </w:rPr>
        <w:t xml:space="preserve"> податків!</w:t>
      </w:r>
    </w:p>
    <w:p w:rsidR="00500860" w:rsidRDefault="00500860" w:rsidP="00500860">
      <w:pPr>
        <w:rPr>
          <w:lang w:val="uk-UA"/>
        </w:rPr>
      </w:pPr>
    </w:p>
    <w:p w:rsidR="00500860" w:rsidRPr="00983DEE" w:rsidRDefault="00500860" w:rsidP="00500860">
      <w:pPr>
        <w:jc w:val="both"/>
        <w:rPr>
          <w:lang w:val="uk-UA"/>
        </w:rPr>
      </w:pPr>
      <w:r>
        <w:rPr>
          <w:lang w:val="uk-UA"/>
        </w:rPr>
        <w:t xml:space="preserve">       </w:t>
      </w:r>
      <w:r w:rsidRPr="006E1538">
        <w:rPr>
          <w:lang w:val="uk-UA"/>
        </w:rPr>
        <w:t xml:space="preserve"> </w:t>
      </w:r>
      <w:r>
        <w:rPr>
          <w:lang w:val="uk-UA"/>
        </w:rPr>
        <w:t xml:space="preserve">     </w:t>
      </w:r>
      <w:r w:rsidRPr="00983DEE">
        <w:rPr>
          <w:lang w:val="uk-UA"/>
        </w:rPr>
        <w:t>Первомайська ОДПІ ГУ ДФС у Луганської області  інформує:</w:t>
      </w:r>
    </w:p>
    <w:p w:rsidR="00500860" w:rsidRPr="00983DEE" w:rsidRDefault="00500860" w:rsidP="00500860">
      <w:pPr>
        <w:jc w:val="both"/>
        <w:rPr>
          <w:lang w:val="uk-UA"/>
        </w:rPr>
      </w:pPr>
    </w:p>
    <w:p w:rsidR="00500860" w:rsidRPr="00983DEE" w:rsidRDefault="00500860" w:rsidP="00500860">
      <w:pPr>
        <w:ind w:left="-426" w:firstLine="426"/>
        <w:jc w:val="both"/>
        <w:rPr>
          <w:lang w:val="uk-UA"/>
        </w:rPr>
      </w:pPr>
      <w:r w:rsidRPr="00983DEE">
        <w:rPr>
          <w:lang w:val="uk-UA"/>
        </w:rPr>
        <w:t xml:space="preserve">        - Кабінетом Міністрів України від 16.03.201</w:t>
      </w:r>
      <w:bookmarkStart w:id="0" w:name="_GoBack"/>
      <w:bookmarkEnd w:id="0"/>
      <w:r w:rsidRPr="00983DEE">
        <w:rPr>
          <w:lang w:val="uk-UA"/>
        </w:rPr>
        <w:t>7року №231 (далі  Постанова №231) затверджено перелік технічно складних побутових товарів, які підлягають гарантійному ремонту (обслуговування) або гарантійній заміні, в цілях застосування РРО, яка була опублікована у випуску газети «Урядовий кур’єр» від 07.04.2017р. №66/217;</w:t>
      </w:r>
    </w:p>
    <w:p w:rsidR="00500860" w:rsidRPr="00983DEE" w:rsidRDefault="00500860" w:rsidP="00500860">
      <w:pPr>
        <w:jc w:val="both"/>
        <w:rPr>
          <w:lang w:val="uk-UA"/>
        </w:rPr>
      </w:pPr>
    </w:p>
    <w:p w:rsidR="00500860" w:rsidRPr="00983DEE" w:rsidRDefault="00500860" w:rsidP="00500860">
      <w:pPr>
        <w:pStyle w:val="a3"/>
        <w:spacing w:before="0" w:beforeAutospacing="0" w:after="0" w:afterAutospacing="0"/>
        <w:ind w:left="-284"/>
        <w:jc w:val="both"/>
      </w:pPr>
      <w:r>
        <w:t xml:space="preserve">            </w:t>
      </w:r>
      <w:r w:rsidRPr="00983DEE">
        <w:t xml:space="preserve">- також слід зазначити, що  положеннями п.296.10 ст.296 Податкового кодексу України « </w:t>
      </w:r>
      <w:r>
        <w:t xml:space="preserve">   </w:t>
      </w:r>
      <w:r w:rsidRPr="00983DEE">
        <w:t>Реєстратори розрахункових операцій не застосовуються платниками єдиного податку:</w:t>
      </w:r>
    </w:p>
    <w:p w:rsidR="00500860" w:rsidRPr="00983DEE" w:rsidRDefault="00500860" w:rsidP="00500860">
      <w:pPr>
        <w:pStyle w:val="a3"/>
        <w:spacing w:before="0" w:beforeAutospacing="0" w:after="0" w:afterAutospacing="0"/>
        <w:jc w:val="both"/>
      </w:pPr>
      <w:r w:rsidRPr="00983DEE">
        <w:t>першої групи;</w:t>
      </w:r>
    </w:p>
    <w:p w:rsidR="00500860" w:rsidRPr="00983DEE" w:rsidRDefault="00500860" w:rsidP="00500860">
      <w:pPr>
        <w:pStyle w:val="a3"/>
        <w:spacing w:before="0" w:beforeAutospacing="0" w:after="0" w:afterAutospacing="0"/>
        <w:jc w:val="both"/>
      </w:pPr>
      <w:r w:rsidRPr="00983DEE">
        <w:t>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500860" w:rsidRPr="00983DEE" w:rsidRDefault="00500860" w:rsidP="00500860">
      <w:pPr>
        <w:pStyle w:val="a3"/>
        <w:jc w:val="both"/>
      </w:pPr>
      <w:r w:rsidRPr="00983DEE">
        <w:t xml:space="preserve">     </w:t>
      </w:r>
      <w:r>
        <w:t xml:space="preserve"> </w:t>
      </w:r>
      <w:r w:rsidRPr="00983DEE">
        <w:t xml:space="preserve"> Норми цього пункту не поширюються на платників єдиного податку, які здійснюють реалізацію технічно складних побутових товарів, що п</w:t>
      </w:r>
      <w:r>
        <w:t>ідлягають гарантійному ремонту.</w:t>
      </w:r>
    </w:p>
    <w:p w:rsidR="00500860" w:rsidRPr="00983DEE" w:rsidRDefault="00500860" w:rsidP="00500860">
      <w:pPr>
        <w:pStyle w:val="a3"/>
        <w:spacing w:before="0" w:beforeAutospacing="0" w:after="0" w:afterAutospacing="0"/>
        <w:ind w:right="-545" w:hanging="900"/>
      </w:pPr>
      <w:r w:rsidRPr="00983DEE">
        <w:t xml:space="preserve">                 -  ст. 9 Закону України від 06 липня 1995 року №265/95-ВР «Про застосування реєстраторів розрахункових операцій у сфері торгівлі, громадського харчування та послуг» </w:t>
      </w:r>
      <w:hyperlink r:id="rId4" w:anchor="71" w:tgtFrame="_top" w:history="1">
        <w:r w:rsidRPr="00983DEE">
          <w:rPr>
            <w:rStyle w:val="a4"/>
            <w:color w:val="auto"/>
            <w:u w:val="none"/>
          </w:rPr>
          <w:t xml:space="preserve"> Реєстратори розрахункових операцій та розрахункові книжки не застосовуються: </w:t>
        </w:r>
      </w:hyperlink>
    </w:p>
    <w:bookmarkStart w:id="1" w:name="410594"/>
    <w:bookmarkEnd w:id="1"/>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"http://search.ligazakon.ua/l_doc2.nsf/link1/ed_2001_10_04/an/9/T012746.html" \l "9" \t "_top" </w:instrText>
      </w:r>
      <w:r w:rsidRPr="00983DEE">
        <w:fldChar w:fldCharType="separate"/>
      </w:r>
      <w:r w:rsidRPr="00983DEE">
        <w:rPr>
          <w:rStyle w:val="a4"/>
          <w:color w:val="auto"/>
          <w:u w:val="none"/>
        </w:rPr>
        <w:t xml:space="preserve">1) при здійсненні торгівлі продукцією власного виробництва та наданні послуг підприємствами, установами і організаціями усіх форм власності, крім підприємств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w:t>
      </w:r>
      <w:proofErr w:type="spellStart"/>
      <w:r w:rsidRPr="00983DEE">
        <w:rPr>
          <w:rStyle w:val="a4"/>
          <w:color w:val="auto"/>
          <w:u w:val="none"/>
        </w:rPr>
        <w:t>видачею</w:t>
      </w:r>
      <w:proofErr w:type="spellEnd"/>
      <w:r w:rsidRPr="00983DEE">
        <w:rPr>
          <w:rStyle w:val="a4"/>
          <w:color w:val="auto"/>
          <w:u w:val="none"/>
        </w:rPr>
        <w:t xml:space="preserve"> відповідних квитанцій, підписаних і завірених печаткою у встановленому порядку; </w:t>
      </w:r>
      <w:r w:rsidRPr="00983DEE">
        <w:fldChar w:fldCharType="end"/>
      </w:r>
    </w:p>
    <w:bookmarkStart w:id="2" w:name="497392"/>
    <w:bookmarkStart w:id="3" w:name="410595"/>
    <w:bookmarkEnd w:id="2"/>
    <w:bookmarkEnd w:id="3"/>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"http://search.ligazakon.ua/l_doc2.nsf/link1/ed_2000_06_01/an/73/T001776.html" \l "73" \t "_top" </w:instrText>
      </w:r>
      <w:r w:rsidRPr="00983DEE">
        <w:fldChar w:fldCharType="separate"/>
      </w:r>
      <w:r w:rsidRPr="00983DEE">
        <w:rPr>
          <w:rStyle w:val="a4"/>
          <w:color w:val="auto"/>
          <w:u w:val="none"/>
        </w:rPr>
        <w:t xml:space="preserve">2) при виконанні усіх банківських операцій (крім операцій з купівлі-продажу іноземної валюти); </w:t>
      </w:r>
      <w:r w:rsidRPr="00983DEE">
        <w:fldChar w:fldCharType="end"/>
      </w:r>
    </w:p>
    <w:bookmarkStart w:id="4" w:name="410596"/>
    <w:bookmarkEnd w:id="4"/>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"http://search.ligazakon.ua/l_doc2.nsf/link1/ed_2000_06_01/an/74/T001776.html" \l "74" \t "_top" </w:instrText>
      </w:r>
      <w:r w:rsidRPr="00983DEE">
        <w:fldChar w:fldCharType="separate"/>
      </w:r>
      <w:r w:rsidRPr="00983DEE">
        <w:rPr>
          <w:rStyle w:val="a4"/>
          <w:color w:val="auto"/>
          <w:u w:val="none"/>
        </w:rPr>
        <w:t xml:space="preserve">3) при виконанні операцій з купівлі-продажу іноземної валюти у разі, якщо ці операції виконуються у касах уповноважених банків з оформленням розрахункових документів відповідно до нормативних актів Національного банку України; </w:t>
      </w:r>
      <w:r w:rsidRPr="00983DEE">
        <w:fldChar w:fldCharType="end"/>
      </w:r>
    </w:p>
    <w:bookmarkStart w:id="5" w:name="410597"/>
    <w:bookmarkEnd w:id="5"/>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"http://search.ligazakon.ua/l_doc2.nsf/link1/ed_2000_06_01/an/75/T001776.html" \l "75" \t "_top" </w:instrText>
      </w:r>
      <w:r w:rsidRPr="00983DEE">
        <w:fldChar w:fldCharType="separate"/>
      </w:r>
      <w:r w:rsidRPr="00983DEE">
        <w:rPr>
          <w:rStyle w:val="a4"/>
          <w:color w:val="auto"/>
          <w:u w:val="none"/>
        </w:rPr>
        <w:t xml:space="preserve">4) при продажу проїзних і перевізних документів із застосуванням бланків суворого обліку на залізничному (крім приміського) та авіаційному транспорті з оформленням розрахункових і звітних документів </w:t>
      </w:r>
      <w:r w:rsidRPr="00983DEE">
        <w:fldChar w:fldCharType="end"/>
      </w:r>
      <w:hyperlink r:id="rId5" w:anchor="20" w:tgtFrame="_top" w:history="1">
        <w:r w:rsidRPr="00983DEE">
          <w:rPr>
            <w:rStyle w:val="a4"/>
            <w:color w:val="auto"/>
            <w:u w:val="none"/>
          </w:rPr>
          <w:t xml:space="preserve">та на автомобільному транспорті з </w:t>
        </w:r>
        <w:proofErr w:type="spellStart"/>
        <w:r w:rsidRPr="00983DEE">
          <w:rPr>
            <w:rStyle w:val="a4"/>
            <w:color w:val="auto"/>
            <w:u w:val="none"/>
          </w:rPr>
          <w:t>видачею</w:t>
        </w:r>
        <w:proofErr w:type="spellEnd"/>
        <w:r w:rsidRPr="00983DEE">
          <w:rPr>
            <w:rStyle w:val="a4"/>
            <w:color w:val="auto"/>
            <w:u w:val="none"/>
          </w:rPr>
          <w:t xml:space="preserve"> талонів, квитанцій, квитків з нанесеними друкарським способом серією, номером, номінальною вартістю, а також при продажу білетів державних лотерей через електронну систему прийняття ставок, що контролюється у режимі реального часу Державним казначейством України, та квитків на відвідування культурно-спортивних і видовищних закладів; </w:t>
        </w:r>
      </w:hyperlink>
    </w:p>
    <w:bookmarkStart w:id="6" w:name="414421"/>
    <w:bookmarkStart w:id="7" w:name="414425"/>
    <w:bookmarkEnd w:id="6"/>
    <w:bookmarkEnd w:id="7"/>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"http://search.ligazakon.ua/l_doc2.nsf/link1/ed_2010_12_02/an/272/T102756.html" \l "272" \t "_top" </w:instrText>
      </w:r>
      <w:r w:rsidRPr="00983DEE">
        <w:fldChar w:fldCharType="separate"/>
      </w:r>
      <w:r w:rsidRPr="00983DEE">
        <w:rPr>
          <w:rStyle w:val="a4"/>
          <w:color w:val="auto"/>
          <w:u w:val="none"/>
        </w:rPr>
        <w:t xml:space="preserve">5) при продажу товарів (наданні послуг) фізичними особами - підприємцями, які сплачують фіксований податок; </w:t>
      </w:r>
      <w:r w:rsidRPr="00983DEE">
        <w:fldChar w:fldCharType="end"/>
      </w:r>
    </w:p>
    <w:bookmarkStart w:id="8" w:name="414423"/>
    <w:bookmarkStart w:id="9" w:name="414428"/>
    <w:bookmarkEnd w:id="8"/>
    <w:bookmarkEnd w:id="9"/>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"http://search.ligazakon.ua/l_doc2.nsf/link1/ed_2010_12_02/an/274/T102756.html" \l "274" \t "_top" </w:instrText>
      </w:r>
      <w:r w:rsidRPr="00983DEE">
        <w:fldChar w:fldCharType="separate"/>
      </w:r>
      <w:r w:rsidRPr="00983DEE">
        <w:rPr>
          <w:rStyle w:val="a4"/>
          <w:color w:val="auto"/>
          <w:u w:val="none"/>
        </w:rPr>
        <w:t xml:space="preserve">6) при продажу товарів (наданні послуг) фізичними особами - підприємцями, які сплачують єдиний податок; </w:t>
      </w:r>
      <w:r w:rsidRPr="00983DEE">
        <w:fldChar w:fldCharType="end"/>
      </w:r>
    </w:p>
    <w:bookmarkStart w:id="10" w:name="414426"/>
    <w:bookmarkStart w:id="11" w:name="778373"/>
    <w:bookmarkEnd w:id="10"/>
    <w:bookmarkEnd w:id="11"/>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"http://search.ligazakon.ua/l_doc2.nsf/link1/ed_2010_12_02/an/275/T102756.html" \l "275" \t "_top" </w:instrText>
      </w:r>
      <w:r w:rsidRPr="00983DEE">
        <w:fldChar w:fldCharType="separate"/>
      </w:r>
      <w:r w:rsidRPr="00983DEE">
        <w:rPr>
          <w:rStyle w:val="a4"/>
          <w:color w:val="auto"/>
          <w:u w:val="none"/>
        </w:rPr>
        <w:t>7) пункт 7 статті 9 виключено </w:t>
      </w:r>
      <w:r w:rsidRPr="00983DEE">
        <w:fldChar w:fldCharType="end"/>
      </w:r>
    </w:p>
    <w:bookmarkStart w:id="12" w:name="414429"/>
    <w:bookmarkStart w:id="13" w:name="414434"/>
    <w:bookmarkEnd w:id="12"/>
    <w:bookmarkEnd w:id="13"/>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"http://search.ligazakon.ua/l_doc2.nsf/link1/ed_2010_12_02/an/277/T102756.html" \l "277" \t "_top" </w:instrText>
      </w:r>
      <w:r w:rsidRPr="00983DEE">
        <w:fldChar w:fldCharType="separate"/>
      </w:r>
      <w:r w:rsidRPr="00983DEE">
        <w:rPr>
          <w:rStyle w:val="a4"/>
          <w:color w:val="auto"/>
          <w:u w:val="none"/>
        </w:rPr>
        <w:t xml:space="preserve">8) при продажу товарів (крім підакцизних) (наданні послуг) особами, які отримали пільговий торговий патент для продажу товарів (надання послуг) відповідно до </w:t>
      </w:r>
      <w:r w:rsidRPr="00983DEE">
        <w:fldChar w:fldCharType="end"/>
      </w:r>
      <w:hyperlink r:id="rId6" w:tgtFrame="_top" w:history="1">
        <w:r w:rsidRPr="00983DEE">
          <w:rPr>
            <w:rStyle w:val="a4"/>
            <w:color w:val="auto"/>
            <w:u w:val="none"/>
          </w:rPr>
          <w:t>Податкового кодексу України</w:t>
        </w:r>
      </w:hyperlink>
      <w:hyperlink r:id="rId7" w:anchor="277" w:tgtFrame="_top" w:history="1">
        <w:r w:rsidRPr="00983DEE">
          <w:rPr>
            <w:rStyle w:val="a4"/>
            <w:color w:val="auto"/>
            <w:u w:val="none"/>
          </w:rPr>
          <w:t xml:space="preserve">; </w:t>
        </w:r>
      </w:hyperlink>
    </w:p>
    <w:bookmarkStart w:id="14" w:name="414432"/>
    <w:bookmarkStart w:id="15" w:name="414437"/>
    <w:bookmarkEnd w:id="14"/>
    <w:bookmarkEnd w:id="15"/>
    <w:p w:rsidR="00500860" w:rsidRPr="00983DEE" w:rsidRDefault="00500860" w:rsidP="00500860">
      <w:pPr>
        <w:pStyle w:val="a3"/>
        <w:spacing w:before="0" w:beforeAutospacing="0" w:after="0" w:afterAutospacing="0"/>
        <w:ind w:right="-545"/>
      </w:pPr>
      <w:r w:rsidRPr="00983DEE">
        <w:lastRenderedPageBreak/>
        <w:fldChar w:fldCharType="begin"/>
      </w:r>
      <w:r w:rsidRPr="00983DEE">
        <w:instrText xml:space="preserve"> HYPERLINK "http://search.ligazakon.ua/l_doc2.nsf/link1/an/26/T002156.html" \l "26" \t "_top" </w:instrText>
      </w:r>
      <w:r w:rsidRPr="00983DEE">
        <w:fldChar w:fldCharType="separate"/>
      </w:r>
      <w:r w:rsidRPr="00983DEE">
        <w:rPr>
          <w:rStyle w:val="a4"/>
          <w:color w:val="auto"/>
          <w:u w:val="none"/>
        </w:rPr>
        <w:t>9) при здійсненні фізичними особами торгівлі продуктовими або промисловими товарами за готівкові кошти на ринках, якщо такі фізичні особи сплачують ринковий збір відповідно до законодавства</w:t>
      </w:r>
      <w:r w:rsidRPr="00983DEE">
        <w:fldChar w:fldCharType="end"/>
      </w:r>
      <w:hyperlink r:id="rId8" w:anchor="13" w:tgtFrame="_top" w:history="1">
        <w:r w:rsidRPr="00983DEE">
          <w:rPr>
            <w:rStyle w:val="a4"/>
            <w:color w:val="auto"/>
            <w:u w:val="none"/>
          </w:rPr>
          <w:t>; </w:t>
        </w:r>
      </w:hyperlink>
      <w:hyperlink r:id="rId9" w:anchor="26" w:tgtFrame="_top" w:history="1">
        <w:r w:rsidRPr="00983DEE">
          <w:rPr>
            <w:rStyle w:val="a4"/>
            <w:color w:val="auto"/>
            <w:u w:val="none"/>
          </w:rPr>
          <w:t xml:space="preserve"> </w:t>
        </w:r>
      </w:hyperlink>
    </w:p>
    <w:bookmarkStart w:id="16" w:name="414435"/>
    <w:bookmarkStart w:id="17" w:name="497396"/>
    <w:bookmarkEnd w:id="16"/>
    <w:bookmarkEnd w:id="17"/>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"http://search.ligazakon.ua/l_doc2.nsf/link1/ed_2001_10_04/an/14/T012746.html" \l "14" \t "_top" </w:instrText>
      </w:r>
      <w:r w:rsidRPr="00983DEE">
        <w:fldChar w:fldCharType="separate"/>
      </w:r>
      <w:r w:rsidRPr="00983DEE">
        <w:rPr>
          <w:rStyle w:val="a4"/>
          <w:color w:val="auto"/>
          <w:u w:val="none"/>
        </w:rPr>
        <w:t xml:space="preserve">10) при продажу у кіосках, з лотків та розносок газет, журналів та інших видань, листівок, конвертів, знаків поштової оплати, якщо питома вага такої продукції становить понад 50 відсотків загального товарообігу за відсутності продажу алкогольних напоїв та підакцизних непродовольчих товарів, а також при продажу жетонів та проїзних квитків у касах метрополітену; </w:t>
      </w:r>
      <w:r w:rsidRPr="00983DEE">
        <w:fldChar w:fldCharType="end"/>
      </w:r>
    </w:p>
    <w:bookmarkStart w:id="18" w:name="497394"/>
    <w:bookmarkStart w:id="19" w:name="497399"/>
    <w:bookmarkEnd w:id="18"/>
    <w:bookmarkEnd w:id="19"/>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"http://search.ligazakon.ua/l_doc2.nsf/link1/ed_2001_10_04/an/15/T012746.html" \l "15" \t "_top" </w:instrText>
      </w:r>
      <w:r w:rsidRPr="00983DEE">
        <w:fldChar w:fldCharType="separate"/>
      </w:r>
      <w:r w:rsidRPr="00983DEE">
        <w:rPr>
          <w:rStyle w:val="a4"/>
          <w:color w:val="auto"/>
          <w:u w:val="none"/>
        </w:rPr>
        <w:t>11) при продажу води, молока, квасу, олії та живої риби з автоцистерн, цистерн, бочок та бідонів; страв та безалкогольних напоїв у їдальнях і буфетах загальноосвітніх навчальних закладів і професійно-технічних навчальних закладів під час навчального процесу</w:t>
      </w:r>
      <w:r w:rsidRPr="00983DEE">
        <w:fldChar w:fldCharType="end"/>
      </w:r>
      <w:hyperlink r:id="rId10" w:anchor="115" w:tgtFrame="_top" w:history="1">
        <w:r w:rsidRPr="00983DEE">
          <w:rPr>
            <w:rStyle w:val="a4"/>
            <w:color w:val="auto"/>
            <w:u w:val="none"/>
          </w:rPr>
          <w:t>;</w:t>
        </w:r>
      </w:hyperlink>
    </w:p>
    <w:bookmarkStart w:id="20" w:name="497397"/>
    <w:bookmarkStart w:id="21" w:name="778346"/>
    <w:bookmarkEnd w:id="20"/>
    <w:bookmarkEnd w:id="21"/>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"http://search.ligazakon.ua/l_doc2.nsf/link1/ed_2004_10_06/an/116/T042056.html" \l "116" \t "_top" </w:instrText>
      </w:r>
      <w:r w:rsidRPr="00983DEE">
        <w:fldChar w:fldCharType="separate"/>
      </w:r>
      <w:r w:rsidRPr="00983DEE">
        <w:rPr>
          <w:rStyle w:val="a4"/>
          <w:color w:val="auto"/>
          <w:u w:val="none"/>
        </w:rPr>
        <w:t xml:space="preserve">12) якщо в місці отримання товарів (надання послуг) операції з розрахунків у готівковій формі не здійснюються (оптова торгівля тощо); </w:t>
      </w:r>
      <w:r w:rsidRPr="00983DEE">
        <w:fldChar w:fldCharType="end"/>
      </w:r>
    </w:p>
    <w:bookmarkStart w:id="22" w:name="778347"/>
    <w:bookmarkStart w:id="23" w:name="778348"/>
    <w:bookmarkEnd w:id="22"/>
    <w:bookmarkEnd w:id="23"/>
    <w:p w:rsidR="00500860" w:rsidRPr="00983DEE" w:rsidRDefault="00500860" w:rsidP="00500860">
      <w:pPr>
        <w:pStyle w:val="a3"/>
        <w:spacing w:before="0" w:beforeAutospacing="0" w:after="0" w:afterAutospacing="0"/>
        <w:ind w:right="-545"/>
      </w:pPr>
      <w:r w:rsidRPr="00983DEE">
        <w:fldChar w:fldCharType="begin"/>
      </w:r>
      <w:r w:rsidRPr="00983DEE">
        <w:instrText xml:space="preserve"> HYPERLINK "http://search.ligazakon.ua/l_doc2.nsf/link1/ed_2004_10_06/an/117/T042056.html" \l "117" \t "_top" </w:instrText>
      </w:r>
      <w:r w:rsidRPr="00983DEE">
        <w:fldChar w:fldCharType="separate"/>
      </w:r>
      <w:r w:rsidRPr="00983DEE">
        <w:rPr>
          <w:rStyle w:val="a4"/>
          <w:color w:val="auto"/>
          <w:u w:val="none"/>
        </w:rPr>
        <w:t xml:space="preserve">13) при продажу товарів у системах електронної торгівлі (комерції). </w:t>
      </w:r>
      <w:r w:rsidRPr="00983DEE">
        <w:fldChar w:fldCharType="end"/>
      </w:r>
    </w:p>
    <w:p w:rsidR="00500860" w:rsidRPr="00983DEE" w:rsidRDefault="00500860" w:rsidP="00500860">
      <w:pPr>
        <w:rPr>
          <w:lang w:val="uk-UA"/>
        </w:rPr>
      </w:pPr>
    </w:p>
    <w:p w:rsidR="00294CD2" w:rsidRPr="00500860" w:rsidRDefault="00500860" w:rsidP="00500860">
      <w:pPr>
        <w:rPr>
          <w:lang w:val="uk-UA"/>
        </w:rPr>
      </w:pPr>
      <w:r>
        <w:rPr>
          <w:lang w:val="uk-UA"/>
        </w:rPr>
        <w:t xml:space="preserve">      Відповідно до цих норм закону </w:t>
      </w:r>
      <w:r w:rsidRPr="00983DEE">
        <w:rPr>
          <w:lang w:val="uk-UA"/>
        </w:rPr>
        <w:t xml:space="preserve"> передбачено обов’язковість застосування реєстраторів розрахункових операцій суб’єктами господарювання, які здійснюють реалізацію технічно складних побутових товарів, що підлягають гарантійному ремонту.</w:t>
      </w:r>
    </w:p>
    <w:sectPr w:rsidR="00294CD2" w:rsidRPr="00500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A1"/>
    <w:rsid w:val="00294CD2"/>
    <w:rsid w:val="00500860"/>
    <w:rsid w:val="008F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A7923-D90A-48EB-9C69-44DE255F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0860"/>
    <w:pPr>
      <w:spacing w:before="100" w:beforeAutospacing="1" w:after="100" w:afterAutospacing="1"/>
    </w:pPr>
    <w:rPr>
      <w:lang w:val="uk-UA" w:eastAsia="uk-UA"/>
    </w:rPr>
  </w:style>
  <w:style w:type="character" w:styleId="a4">
    <w:name w:val="Hyperlink"/>
    <w:basedOn w:val="a0"/>
    <w:uiPriority w:val="99"/>
    <w:rsid w:val="005008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1_10_04/an/13/T012746.html" TargetMode="External"/><Relationship Id="rId3" Type="http://schemas.openxmlformats.org/officeDocument/2006/relationships/webSettings" Target="webSettings.xml"/><Relationship Id="rId7" Type="http://schemas.openxmlformats.org/officeDocument/2006/relationships/hyperlink" Target="http://search.ligazakon.ua/l_doc2.nsf/link1/ed_2010_12_02/an/277/T10275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ed_2010_12_02/T102755.html" TargetMode="External"/><Relationship Id="rId11" Type="http://schemas.openxmlformats.org/officeDocument/2006/relationships/fontTable" Target="fontTable.xml"/><Relationship Id="rId5" Type="http://schemas.openxmlformats.org/officeDocument/2006/relationships/hyperlink" Target="http://search.ligazakon.ua/l_doc2.nsf/link1/ed_2000_12_21/an/20/T002156.html" TargetMode="External"/><Relationship Id="rId10" Type="http://schemas.openxmlformats.org/officeDocument/2006/relationships/hyperlink" Target="http://search.ligazakon.ua/l_doc2.nsf/link1/ed_2004_10_06/an/115/T042056.html" TargetMode="External"/><Relationship Id="rId4" Type="http://schemas.openxmlformats.org/officeDocument/2006/relationships/hyperlink" Target="http://search.ligazakon.ua/l_doc2.nsf/link1/ed_2000_06_01/an/71/T001776.html" TargetMode="External"/><Relationship Id="rId9" Type="http://schemas.openxmlformats.org/officeDocument/2006/relationships/hyperlink" Target="http://search.ligazakon.ua/l_doc2.nsf/link1/an/26/T0021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2018-01-10T14:01:00Z</dcterms:created>
  <dcterms:modified xsi:type="dcterms:W3CDTF">2018-01-10T14:01:00Z</dcterms:modified>
</cp:coreProperties>
</file>